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516A9" w14:textId="51A718D4"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F46D37">
        <w:rPr>
          <w:rFonts w:ascii="Arial" w:hAnsi="Arial" w:cs="Arial"/>
          <w:b/>
          <w:sz w:val="24"/>
          <w:szCs w:val="24"/>
          <w:lang w:eastAsia="zh-CN"/>
        </w:rPr>
        <w:t>8</w:t>
      </w:r>
      <w:r w:rsidR="005B7D61">
        <w:rPr>
          <w:rFonts w:ascii="Arial" w:hAnsi="Arial" w:cs="Arial"/>
          <w:b/>
          <w:sz w:val="24"/>
          <w:szCs w:val="24"/>
          <w:lang w:eastAsia="zh-CN"/>
        </w:rPr>
        <w:t>-bis-</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Pr="00DF0F87">
        <w:rPr>
          <w:rFonts w:ascii="Arial" w:hAnsi="Arial" w:cs="Arial"/>
          <w:b/>
          <w:sz w:val="24"/>
          <w:szCs w:val="24"/>
          <w:lang w:eastAsia="zh-CN"/>
        </w:rPr>
        <w:t>R</w:t>
      </w:r>
      <w:r w:rsidR="00C22B29" w:rsidRPr="00DF0F87">
        <w:rPr>
          <w:rFonts w:ascii="Arial" w:hAnsi="Arial" w:cs="Arial"/>
          <w:b/>
          <w:sz w:val="24"/>
          <w:szCs w:val="24"/>
          <w:lang w:eastAsia="zh-CN"/>
        </w:rPr>
        <w:t>4</w:t>
      </w:r>
      <w:r w:rsidRPr="00DF0F87">
        <w:rPr>
          <w:rFonts w:ascii="Arial" w:hAnsi="Arial" w:cs="Arial"/>
          <w:b/>
          <w:sz w:val="24"/>
          <w:szCs w:val="24"/>
          <w:lang w:eastAsia="zh-CN"/>
        </w:rPr>
        <w:t>-2</w:t>
      </w:r>
      <w:r w:rsidR="00F46D37" w:rsidRPr="00DF0F87">
        <w:rPr>
          <w:rFonts w:ascii="Arial" w:hAnsi="Arial" w:cs="Arial"/>
          <w:b/>
          <w:sz w:val="24"/>
          <w:szCs w:val="24"/>
          <w:lang w:eastAsia="zh-CN"/>
        </w:rPr>
        <w:t>10</w:t>
      </w:r>
      <w:r w:rsidR="00DF0F87" w:rsidRPr="00DF0F87">
        <w:rPr>
          <w:rFonts w:ascii="Arial" w:hAnsi="Arial" w:cs="Arial"/>
          <w:b/>
          <w:sz w:val="24"/>
          <w:szCs w:val="24"/>
          <w:lang w:eastAsia="zh-CN"/>
        </w:rPr>
        <w:t>6665</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5B7D61">
        <w:rPr>
          <w:rFonts w:ascii="Arial" w:hAnsi="Arial" w:cs="Arial"/>
          <w:b/>
          <w:sz w:val="24"/>
          <w:szCs w:val="24"/>
          <w:lang w:eastAsia="zh-CN"/>
        </w:rPr>
        <w:t>April</w:t>
      </w:r>
      <w:r>
        <w:rPr>
          <w:rFonts w:ascii="Arial" w:hAnsi="Arial" w:cs="Arial"/>
          <w:b/>
          <w:sz w:val="24"/>
          <w:szCs w:val="24"/>
          <w:lang w:eastAsia="zh-CN"/>
        </w:rPr>
        <w:t xml:space="preserve"> </w:t>
      </w:r>
      <w:r w:rsidR="005B7D61">
        <w:rPr>
          <w:rFonts w:ascii="Arial" w:hAnsi="Arial" w:cs="Arial"/>
          <w:b/>
          <w:sz w:val="24"/>
          <w:szCs w:val="24"/>
          <w:lang w:eastAsia="zh-CN"/>
        </w:rPr>
        <w:t>12</w:t>
      </w:r>
      <w:r w:rsidR="00F46D37" w:rsidRPr="00F46D37">
        <w:rPr>
          <w:rFonts w:ascii="Arial" w:hAnsi="Arial" w:cs="Arial"/>
          <w:b/>
          <w:sz w:val="24"/>
          <w:szCs w:val="24"/>
          <w:vertAlign w:val="superscript"/>
          <w:lang w:eastAsia="zh-CN"/>
        </w:rPr>
        <w:t>th</w:t>
      </w:r>
      <w:r w:rsidR="00985912">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5B7D61">
        <w:rPr>
          <w:rFonts w:ascii="Arial" w:hAnsi="Arial" w:cs="Arial"/>
          <w:b/>
          <w:sz w:val="24"/>
          <w:szCs w:val="24"/>
          <w:lang w:eastAsia="zh-CN"/>
        </w:rPr>
        <w:t>20</w:t>
      </w:r>
      <w:r w:rsidR="00F46D37" w:rsidRPr="00F46D37">
        <w:rPr>
          <w:rFonts w:ascii="Arial" w:hAnsi="Arial" w:cs="Arial"/>
          <w:b/>
          <w:sz w:val="24"/>
          <w:szCs w:val="24"/>
          <w:vertAlign w:val="superscript"/>
          <w:lang w:eastAsia="zh-CN"/>
        </w:rPr>
        <w:t>th</w:t>
      </w:r>
      <w:r>
        <w:rPr>
          <w:rFonts w:ascii="Arial" w:hAnsi="Arial" w:cs="Arial"/>
          <w:b/>
          <w:sz w:val="24"/>
          <w:szCs w:val="24"/>
          <w:lang w:eastAsia="zh-CN"/>
        </w:rPr>
        <w:t>, 202</w:t>
      </w:r>
      <w:r w:rsidR="00FC20BE">
        <w:rPr>
          <w:rFonts w:ascii="Arial" w:hAnsi="Arial" w:cs="Arial"/>
          <w:b/>
          <w:sz w:val="24"/>
          <w:szCs w:val="24"/>
          <w:lang w:eastAsia="zh-CN"/>
        </w:rPr>
        <w:t>1</w:t>
      </w:r>
    </w:p>
    <w:p w14:paraId="798321A4" w14:textId="1BAEFB13" w:rsidR="00656EE7" w:rsidRDefault="00656EE7">
      <w:pPr>
        <w:spacing w:after="120"/>
        <w:ind w:left="1985" w:hanging="1985"/>
        <w:rPr>
          <w:rFonts w:ascii="Arial" w:eastAsia="MS Mincho" w:hAnsi="Arial" w:cs="Arial"/>
          <w:b/>
          <w:sz w:val="22"/>
        </w:rPr>
      </w:pPr>
    </w:p>
    <w:p w14:paraId="36AE7F06" w14:textId="7651F29C"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B7D61">
        <w:rPr>
          <w:rFonts w:ascii="Arial" w:eastAsia="MS Mincho" w:hAnsi="Arial" w:cs="Arial"/>
          <w:bCs/>
          <w:color w:val="000000"/>
          <w:sz w:val="22"/>
          <w:lang w:val="pt-BR" w:eastAsia="ja-JP"/>
        </w:rPr>
        <w:t>8</w:t>
      </w:r>
      <w:r w:rsidR="00603972" w:rsidRPr="00645480">
        <w:rPr>
          <w:rFonts w:ascii="Arial" w:eastAsia="MS Mincho" w:hAnsi="Arial" w:cs="Arial"/>
          <w:bCs/>
          <w:color w:val="000000"/>
          <w:sz w:val="22"/>
          <w:lang w:val="pt-BR" w:eastAsia="ja-JP"/>
        </w:rPr>
        <w:t>.1</w:t>
      </w:r>
      <w:r w:rsidR="005B7D61">
        <w:rPr>
          <w:rFonts w:ascii="Arial" w:eastAsia="MS Mincho" w:hAnsi="Arial" w:cs="Arial"/>
          <w:bCs/>
          <w:color w:val="000000"/>
          <w:sz w:val="22"/>
          <w:lang w:val="pt-BR" w:eastAsia="ja-JP"/>
        </w:rPr>
        <w:t>2</w:t>
      </w:r>
      <w:r w:rsidR="00603972" w:rsidRPr="00645480">
        <w:rPr>
          <w:rFonts w:ascii="Arial" w:eastAsia="MS Mincho" w:hAnsi="Arial" w:cs="Arial"/>
          <w:bCs/>
          <w:color w:val="000000"/>
          <w:sz w:val="22"/>
          <w:lang w:val="pt-BR" w:eastAsia="ja-JP"/>
        </w:rPr>
        <w:t>.</w:t>
      </w:r>
      <w:r w:rsidR="00A41F41">
        <w:rPr>
          <w:rFonts w:ascii="Arial" w:eastAsia="MS Mincho" w:hAnsi="Arial" w:cs="Arial"/>
          <w:bCs/>
          <w:color w:val="000000"/>
          <w:sz w:val="22"/>
          <w:lang w:val="pt-BR" w:eastAsia="ja-JP"/>
        </w:rPr>
        <w:t>1</w:t>
      </w:r>
    </w:p>
    <w:p w14:paraId="5F4BD920" w14:textId="719E3E71" w:rsidR="00656EE7" w:rsidRPr="00752CCD" w:rsidRDefault="00344713">
      <w:pPr>
        <w:spacing w:after="120"/>
        <w:ind w:left="1985" w:hanging="1985"/>
        <w:rPr>
          <w:rFonts w:ascii="Arial" w:hAnsi="Arial" w:cs="Arial"/>
          <w:bCs/>
          <w:color w:val="000000"/>
          <w:sz w:val="22"/>
          <w:lang w:eastAsia="zh-CN"/>
        </w:rPr>
      </w:pPr>
      <w:r>
        <w:rPr>
          <w:rFonts w:ascii="Arial" w:eastAsia="MS Mincho" w:hAnsi="Arial" w:cs="Arial"/>
          <w:b/>
          <w:sz w:val="22"/>
        </w:rPr>
        <w:t>Source:</w:t>
      </w:r>
      <w:r>
        <w:rPr>
          <w:rFonts w:ascii="Arial" w:eastAsia="MS Mincho" w:hAnsi="Arial" w:cs="Arial"/>
          <w:b/>
          <w:sz w:val="22"/>
        </w:rPr>
        <w:tab/>
      </w:r>
      <w:r w:rsidR="005B7D61" w:rsidRPr="00752CCD">
        <w:rPr>
          <w:rFonts w:ascii="Arial" w:eastAsia="MS Mincho" w:hAnsi="Arial" w:cs="Arial"/>
          <w:bCs/>
          <w:sz w:val="22"/>
        </w:rPr>
        <w:t>Nokia, Nokia Shanghai Bell</w:t>
      </w:r>
    </w:p>
    <w:p w14:paraId="7BD5998E" w14:textId="16EFDE8B"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752CCD">
        <w:rPr>
          <w:rFonts w:ascii="Arial" w:eastAsia="MS Mincho" w:hAnsi="Arial" w:cs="Arial"/>
          <w:bCs/>
          <w:color w:val="000000"/>
          <w:sz w:val="22"/>
        </w:rPr>
        <w:t>W</w:t>
      </w:r>
      <w:r w:rsidR="00752CCD" w:rsidRPr="00752CCD">
        <w:rPr>
          <w:rFonts w:ascii="Arial" w:eastAsia="MS Mincho" w:hAnsi="Arial" w:cs="Arial"/>
          <w:bCs/>
          <w:color w:val="000000"/>
          <w:sz w:val="22"/>
        </w:rPr>
        <w:t xml:space="preserve">ork plan considerations for </w:t>
      </w:r>
      <w:r w:rsidR="00752CCD" w:rsidRPr="00752CCD">
        <w:rPr>
          <w:rFonts w:ascii="Arial" w:eastAsia="MS Mincho" w:hAnsi="Arial" w:cs="Arial"/>
          <w:bCs/>
          <w:sz w:val="22"/>
        </w:rPr>
        <w:t>NR extension</w:t>
      </w:r>
      <w:r w:rsidR="00752CCD">
        <w:rPr>
          <w:rFonts w:ascii="Arial" w:eastAsia="MS Mincho" w:hAnsi="Arial" w:cs="Arial"/>
          <w:bCs/>
          <w:sz w:val="22"/>
        </w:rPr>
        <w:t xml:space="preserve"> to 71 GHz </w:t>
      </w:r>
      <w:r w:rsidR="00603972">
        <w:rPr>
          <w:rFonts w:ascii="Arial" w:hAnsi="Arial" w:cs="Arial"/>
          <w:color w:val="000000"/>
          <w:sz w:val="22"/>
          <w:lang w:eastAsia="zh-CN"/>
        </w:rPr>
        <w:t xml:space="preserve"> </w:t>
      </w:r>
    </w:p>
    <w:p w14:paraId="4C70E33B" w14:textId="0A619E38"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CCEB6E4" w:rsidR="00656EE7" w:rsidRDefault="00344713" w:rsidP="00065A7B">
      <w:pPr>
        <w:pStyle w:val="Heading1"/>
        <w:rPr>
          <w:lang w:eastAsia="zh-CN"/>
        </w:rPr>
      </w:pPr>
      <w:proofErr w:type="spellStart"/>
      <w:r>
        <w:rPr>
          <w:rFonts w:hint="eastAsia"/>
          <w:lang w:eastAsia="ja-JP"/>
        </w:rPr>
        <w:t>Introduction</w:t>
      </w:r>
      <w:proofErr w:type="spellEnd"/>
    </w:p>
    <w:p w14:paraId="3659D095" w14:textId="7B418C02" w:rsidR="00656EE7" w:rsidRDefault="005B7D61">
      <w:pPr>
        <w:pStyle w:val="BodyText"/>
        <w:rPr>
          <w:lang w:eastAsia="zh-CN"/>
        </w:rPr>
      </w:pPr>
      <w:r>
        <w:rPr>
          <w:lang w:eastAsia="zh-CN"/>
        </w:rPr>
        <w:t xml:space="preserve">In this contribution we discuss </w:t>
      </w:r>
      <w:r w:rsidR="00752CCD">
        <w:rPr>
          <w:lang w:eastAsia="zh-CN"/>
        </w:rPr>
        <w:t>the scope and work plan for NR extension up to 71 GHz.</w:t>
      </w:r>
    </w:p>
    <w:p w14:paraId="27A7A54E" w14:textId="2FB0BF66" w:rsidR="007B1131" w:rsidRDefault="00F84D8E" w:rsidP="00F84D8E">
      <w:pPr>
        <w:pStyle w:val="Heading1"/>
        <w:rPr>
          <w:lang w:eastAsia="zh-CN"/>
        </w:rPr>
      </w:pPr>
      <w:proofErr w:type="spellStart"/>
      <w:r>
        <w:rPr>
          <w:lang w:eastAsia="zh-CN"/>
        </w:rPr>
        <w:t>Discussion</w:t>
      </w:r>
      <w:proofErr w:type="spellEnd"/>
    </w:p>
    <w:p w14:paraId="7F4F1E48" w14:textId="0E61A084" w:rsidR="009917FE" w:rsidRDefault="009917FE" w:rsidP="00752CCD">
      <w:pPr>
        <w:pStyle w:val="BodyText"/>
        <w:rPr>
          <w:lang w:val="en-US"/>
        </w:rPr>
      </w:pPr>
      <w:r w:rsidRPr="009917FE">
        <w:rPr>
          <w:noProof/>
          <w:lang w:val="en-US"/>
        </w:rPr>
        <mc:AlternateContent>
          <mc:Choice Requires="wps">
            <w:drawing>
              <wp:anchor distT="45720" distB="45720" distL="114300" distR="114300" simplePos="0" relativeHeight="251659264" behindDoc="0" locked="0" layoutInCell="1" allowOverlap="1" wp14:anchorId="1B19DA31" wp14:editId="35EEBEBF">
                <wp:simplePos x="0" y="0"/>
                <wp:positionH relativeFrom="margin">
                  <wp:posOffset>23495</wp:posOffset>
                </wp:positionH>
                <wp:positionV relativeFrom="paragraph">
                  <wp:posOffset>453390</wp:posOffset>
                </wp:positionV>
                <wp:extent cx="6181725" cy="140462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404620"/>
                        </a:xfrm>
                        <a:prstGeom prst="rect">
                          <a:avLst/>
                        </a:prstGeom>
                        <a:solidFill>
                          <a:srgbClr val="FFFFFF"/>
                        </a:solidFill>
                        <a:ln w="9525">
                          <a:solidFill>
                            <a:srgbClr val="000000"/>
                          </a:solidFill>
                          <a:miter lim="800000"/>
                          <a:headEnd/>
                          <a:tailEnd/>
                        </a:ln>
                      </wps:spPr>
                      <wps:txbx>
                        <w:txbxContent>
                          <w:p w14:paraId="4917F781" w14:textId="6E62978B" w:rsidR="009917FE" w:rsidRDefault="009917FE" w:rsidP="009917FE">
                            <w:pPr>
                              <w:pStyle w:val="B1"/>
                              <w:numPr>
                                <w:ilvl w:val="0"/>
                                <w:numId w:val="24"/>
                              </w:numPr>
                              <w:overflowPunct w:val="0"/>
                              <w:autoSpaceDE w:val="0"/>
                              <w:autoSpaceDN w:val="0"/>
                              <w:adjustRightInd w:val="0"/>
                              <w:spacing w:before="180"/>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377EF624" w14:textId="77777777" w:rsidR="009917FE" w:rsidRDefault="009917FE" w:rsidP="009917FE">
                            <w:pPr>
                              <w:pStyle w:val="B1"/>
                              <w:numPr>
                                <w:ilvl w:val="1"/>
                                <w:numId w:val="24"/>
                              </w:numPr>
                              <w:overflowPunct w:val="0"/>
                              <w:autoSpaceDE w:val="0"/>
                              <w:autoSpaceDN w:val="0"/>
                              <w:adjustRightInd w:val="0"/>
                              <w:spacing w:before="180"/>
                              <w:rPr>
                                <w:lang w:eastAsia="ja-JP"/>
                              </w:rPr>
                            </w:pPr>
                            <w:r>
                              <w:rPr>
                                <w:lang w:eastAsia="ja-JP"/>
                              </w:rPr>
                              <w:t>Specify new band(s) for the frequency range from 52.6GHz-71GHz. The band(s) definition should include UL/DL operation and excludes ITS spectrum in this frequency range.</w:t>
                            </w:r>
                          </w:p>
                          <w:p w14:paraId="1CB59A99" w14:textId="77777777" w:rsidR="009917FE" w:rsidRDefault="009917FE" w:rsidP="009917FE">
                            <w:pPr>
                              <w:pStyle w:val="B2"/>
                              <w:numPr>
                                <w:ilvl w:val="1"/>
                                <w:numId w:val="24"/>
                              </w:numPr>
                              <w:overflowPunct w:val="0"/>
                              <w:autoSpaceDE w:val="0"/>
                              <w:autoSpaceDN w:val="0"/>
                              <w:adjustRightInd w:val="0"/>
                              <w:rPr>
                                <w:lang w:val="en-US" w:eastAsia="en-GB"/>
                              </w:rPr>
                            </w:pPr>
                            <w:r>
                              <w:rPr>
                                <w:lang w:eastAsia="ja-JP"/>
                              </w:rPr>
                              <w:t xml:space="preserve">Specify </w:t>
                            </w:r>
                            <w:proofErr w:type="spellStart"/>
                            <w:r>
                              <w:rPr>
                                <w:lang w:eastAsia="zh-CN"/>
                              </w:rPr>
                              <w:t>gNB</w:t>
                            </w:r>
                            <w:proofErr w:type="spellEnd"/>
                            <w:r>
                              <w:rPr>
                                <w:lang w:eastAsia="zh-CN"/>
                              </w:rPr>
                              <w:t xml:space="preserve"> and UE RF core requirements for the band(s) in the above frequency range, including </w:t>
                            </w:r>
                            <w:r>
                              <w:rPr>
                                <w:lang w:val="en-US"/>
                              </w:rPr>
                              <w:t xml:space="preserve">a limited set of example band combinations (see Note 1). </w:t>
                            </w:r>
                          </w:p>
                          <w:p w14:paraId="7DF8990C" w14:textId="77777777" w:rsidR="009917FE" w:rsidRDefault="009917FE" w:rsidP="009917FE">
                            <w:pPr>
                              <w:pStyle w:val="B2"/>
                              <w:numPr>
                                <w:ilvl w:val="1"/>
                                <w:numId w:val="24"/>
                              </w:numPr>
                              <w:overflowPunct w:val="0"/>
                              <w:autoSpaceDE w:val="0"/>
                              <w:autoSpaceDN w:val="0"/>
                              <w:adjustRightInd w:val="0"/>
                              <w:rPr>
                                <w:lang w:eastAsia="zh-CN"/>
                              </w:rPr>
                            </w:pPr>
                            <w:r>
                              <w:rPr>
                                <w:lang w:eastAsia="zh-CN"/>
                              </w:rPr>
                              <w:t>Specify RRM/RLM/BM core requirements.</w:t>
                            </w:r>
                          </w:p>
                          <w:p w14:paraId="45146DC6" w14:textId="77777777" w:rsidR="009917FE" w:rsidRDefault="009917FE" w:rsidP="009917FE">
                            <w:pPr>
                              <w:pStyle w:val="B2"/>
                              <w:ind w:left="720" w:firstLine="0"/>
                              <w:rPr>
                                <w:lang w:eastAsia="zh-CN"/>
                              </w:rPr>
                            </w:pPr>
                            <w:r>
                              <w:rPr>
                                <w:lang w:eastAsia="zh-CN"/>
                              </w:rPr>
                              <w:t>Note 1: The WI can be completed provided requirements for at least one band combination involving a new NR-U band is specified</w:t>
                            </w:r>
                            <w:r>
                              <w:t xml:space="preserve"> </w:t>
                            </w:r>
                            <w:proofErr w:type="gramStart"/>
                            <w:r>
                              <w:rPr>
                                <w:lang w:eastAsia="zh-CN"/>
                              </w:rPr>
                              <w:t>as long as</w:t>
                            </w:r>
                            <w:proofErr w:type="gramEnd"/>
                            <w:r>
                              <w:rPr>
                                <w:lang w:eastAsia="zh-CN"/>
                              </w:rPr>
                              <w:t xml:space="preserve"> it is in line with country-specific regulatory directives.</w:t>
                            </w:r>
                          </w:p>
                          <w:p w14:paraId="3BC42E0E" w14:textId="77777777" w:rsidR="009917FE" w:rsidRDefault="009917FE" w:rsidP="009917FE">
                            <w:pPr>
                              <w:pStyle w:val="B2"/>
                              <w:ind w:left="720" w:firstLine="0"/>
                              <w:rPr>
                                <w:lang w:eastAsia="zh-CN"/>
                              </w:rPr>
                            </w:pPr>
                            <w:r>
                              <w:rPr>
                                <w:lang w:eastAsia="zh-CN"/>
                              </w:rPr>
                              <w:t>Note 2: UEs supporting a band in the range of 52.6GHz-71GHz are not required to support 480kHz SCS and 960kHz SCS.</w:t>
                            </w:r>
                          </w:p>
                          <w:p w14:paraId="7027A2DA" w14:textId="77777777" w:rsidR="009917FE" w:rsidRDefault="009917FE" w:rsidP="009917FE">
                            <w:pPr>
                              <w:pStyle w:val="B2"/>
                              <w:ind w:left="720" w:firstLine="0"/>
                              <w:rPr>
                                <w:lang w:eastAsia="zh-CN"/>
                              </w:rPr>
                            </w:pPr>
                            <w:r>
                              <w:rPr>
                                <w:lang w:eastAsia="zh-CN"/>
                              </w:rPr>
                              <w:t>Note 3: The maximum FFT size required to operate the system in 52.6GHz-71GHz frequency is 4096, and the maximum of RBs per carrier is 275 RBs.</w:t>
                            </w:r>
                          </w:p>
                          <w:p w14:paraId="3B9F883F" w14:textId="77777777" w:rsidR="009917FE" w:rsidRDefault="009917FE" w:rsidP="009917FE">
                            <w:pPr>
                              <w:pStyle w:val="B2"/>
                              <w:ind w:left="720" w:firstLine="0"/>
                              <w:rPr>
                                <w:lang w:eastAsia="zh-CN"/>
                              </w:rPr>
                            </w:pPr>
                            <w:r>
                              <w:rPr>
                                <w:lang w:eastAsia="zh-CN"/>
                              </w:rPr>
                              <w:t>Note 4: the system is designed to support both single-carrier and multi-carrier operation.</w:t>
                            </w:r>
                          </w:p>
                          <w:p w14:paraId="723AA6E2" w14:textId="77777777" w:rsidR="009917FE" w:rsidRDefault="009917FE" w:rsidP="009917FE">
                            <w:pPr>
                              <w:pStyle w:val="B2"/>
                              <w:ind w:left="720" w:firstLine="0"/>
                              <w:rPr>
                                <w:lang w:eastAsia="zh-CN"/>
                              </w:rPr>
                            </w:pPr>
                            <w:bookmarkStart w:id="0" w:name="_Hlk58594589"/>
                            <w:r>
                              <w:rPr>
                                <w:lang w:eastAsia="zh-CN"/>
                              </w:rPr>
                              <w:t xml:space="preserve">Note 5: RAN plenary will decide </w:t>
                            </w:r>
                            <w:bookmarkEnd w:id="0"/>
                            <w:r>
                              <w:rPr>
                                <w:lang w:eastAsia="zh-CN"/>
                              </w:rPr>
                              <w:t>whether new FR (e.g. FR3) shall be defined for the frequency range from 52.6GHz-71GHz or the existing FR2 shall be extended to cover frequency range from 52.6GHz-71GHz.</w:t>
                            </w:r>
                          </w:p>
                          <w:p w14:paraId="4F212FAD" w14:textId="77777777" w:rsidR="009917FE" w:rsidRDefault="009917FE" w:rsidP="009917FE">
                            <w:pPr>
                              <w:spacing w:after="0"/>
                              <w:rPr>
                                <w:bCs/>
                                <w:lang w:eastAsia="en-GB"/>
                              </w:rPr>
                            </w:pPr>
                            <w:bookmarkStart w:id="1" w:name="_Hlk58524207"/>
                            <w:proofErr w:type="gramStart"/>
                            <w:r>
                              <w:rPr>
                                <w:bCs/>
                              </w:rPr>
                              <w:t>Similar to</w:t>
                            </w:r>
                            <w:proofErr w:type="gramEnd"/>
                            <w:r>
                              <w:rPr>
                                <w:bCs/>
                              </w:rPr>
                              <w:t xml:space="preserve"> regular NR and NR-U operations below 52.6GHz, NR/NR-U operation in the 52.6GHz to 71GHz can be in stand-alone or aggregated via CA or DC with an anchor carrier.  </w:t>
                            </w:r>
                            <w:bookmarkEnd w:id="1"/>
                          </w:p>
                          <w:p w14:paraId="6853A915" w14:textId="1781ECB5" w:rsidR="009917FE" w:rsidRDefault="009917F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19DA31" id="_x0000_t202" coordsize="21600,21600" o:spt="202" path="m,l,21600r21600,l21600,xe">
                <v:stroke joinstyle="miter"/>
                <v:path gradientshapeok="t" o:connecttype="rect"/>
              </v:shapetype>
              <v:shape id="Text Box 2" o:spid="_x0000_s1026" type="#_x0000_t202" style="position:absolute;margin-left:1.85pt;margin-top:35.7pt;width:486.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">
                <v:textbox style="mso-fit-shape-to-text:t">
                  <w:txbxContent>
                    <w:p w14:paraId="4917F781" w14:textId="6E62978B" w:rsidR="009917FE" w:rsidRDefault="009917FE" w:rsidP="009917FE">
                      <w:pPr>
                        <w:pStyle w:val="B1"/>
                        <w:numPr>
                          <w:ilvl w:val="0"/>
                          <w:numId w:val="24"/>
                        </w:numPr>
                        <w:overflowPunct w:val="0"/>
                        <w:autoSpaceDE w:val="0"/>
                        <w:autoSpaceDN w:val="0"/>
                        <w:adjustRightInd w:val="0"/>
                        <w:spacing w:before="180"/>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377EF624" w14:textId="77777777" w:rsidR="009917FE" w:rsidRDefault="009917FE" w:rsidP="009917FE">
                      <w:pPr>
                        <w:pStyle w:val="B1"/>
                        <w:numPr>
                          <w:ilvl w:val="1"/>
                          <w:numId w:val="24"/>
                        </w:numPr>
                        <w:overflowPunct w:val="0"/>
                        <w:autoSpaceDE w:val="0"/>
                        <w:autoSpaceDN w:val="0"/>
                        <w:adjustRightInd w:val="0"/>
                        <w:spacing w:before="180"/>
                        <w:rPr>
                          <w:lang w:eastAsia="ja-JP"/>
                        </w:rPr>
                      </w:pPr>
                      <w:r>
                        <w:rPr>
                          <w:lang w:eastAsia="ja-JP"/>
                        </w:rPr>
                        <w:t>Specify new band(s) for the frequency range from 52.6GHz-71GHz. The band(s) definition should include UL/DL operation and excludes ITS spectrum in this frequency range.</w:t>
                      </w:r>
                    </w:p>
                    <w:p w14:paraId="1CB59A99" w14:textId="77777777" w:rsidR="009917FE" w:rsidRDefault="009917FE" w:rsidP="009917FE">
                      <w:pPr>
                        <w:pStyle w:val="B2"/>
                        <w:numPr>
                          <w:ilvl w:val="1"/>
                          <w:numId w:val="24"/>
                        </w:numPr>
                        <w:overflowPunct w:val="0"/>
                        <w:autoSpaceDE w:val="0"/>
                        <w:autoSpaceDN w:val="0"/>
                        <w:adjustRightInd w:val="0"/>
                        <w:rPr>
                          <w:lang w:val="en-US" w:eastAsia="en-GB"/>
                        </w:rPr>
                      </w:pPr>
                      <w:r>
                        <w:rPr>
                          <w:lang w:eastAsia="ja-JP"/>
                        </w:rPr>
                        <w:t xml:space="preserve">Specify </w:t>
                      </w:r>
                      <w:proofErr w:type="spellStart"/>
                      <w:r>
                        <w:rPr>
                          <w:lang w:eastAsia="zh-CN"/>
                        </w:rPr>
                        <w:t>gNB</w:t>
                      </w:r>
                      <w:proofErr w:type="spellEnd"/>
                      <w:r>
                        <w:rPr>
                          <w:lang w:eastAsia="zh-CN"/>
                        </w:rPr>
                        <w:t xml:space="preserve"> and UE RF core requirements for the band(s) in the above frequency range, including </w:t>
                      </w:r>
                      <w:r>
                        <w:rPr>
                          <w:lang w:val="en-US"/>
                        </w:rPr>
                        <w:t xml:space="preserve">a limited set of example band combinations (see Note 1). </w:t>
                      </w:r>
                    </w:p>
                    <w:p w14:paraId="7DF8990C" w14:textId="77777777" w:rsidR="009917FE" w:rsidRDefault="009917FE" w:rsidP="009917FE">
                      <w:pPr>
                        <w:pStyle w:val="B2"/>
                        <w:numPr>
                          <w:ilvl w:val="1"/>
                          <w:numId w:val="24"/>
                        </w:numPr>
                        <w:overflowPunct w:val="0"/>
                        <w:autoSpaceDE w:val="0"/>
                        <w:autoSpaceDN w:val="0"/>
                        <w:adjustRightInd w:val="0"/>
                        <w:rPr>
                          <w:lang w:eastAsia="zh-CN"/>
                        </w:rPr>
                      </w:pPr>
                      <w:r>
                        <w:rPr>
                          <w:lang w:eastAsia="zh-CN"/>
                        </w:rPr>
                        <w:t>Specify RRM/RLM/BM core requirements.</w:t>
                      </w:r>
                    </w:p>
                    <w:p w14:paraId="45146DC6" w14:textId="77777777" w:rsidR="009917FE" w:rsidRDefault="009917FE" w:rsidP="009917FE">
                      <w:pPr>
                        <w:pStyle w:val="B2"/>
                        <w:ind w:left="720" w:firstLine="0"/>
                        <w:rPr>
                          <w:lang w:eastAsia="zh-CN"/>
                        </w:rPr>
                      </w:pPr>
                      <w:r>
                        <w:rPr>
                          <w:lang w:eastAsia="zh-CN"/>
                        </w:rPr>
                        <w:t>Note 1: The WI can be completed provided requirements for at least one band combination involving a new NR-U band is specified</w:t>
                      </w:r>
                      <w:r>
                        <w:t xml:space="preserve"> </w:t>
                      </w:r>
                      <w:proofErr w:type="gramStart"/>
                      <w:r>
                        <w:rPr>
                          <w:lang w:eastAsia="zh-CN"/>
                        </w:rPr>
                        <w:t>as long as</w:t>
                      </w:r>
                      <w:proofErr w:type="gramEnd"/>
                      <w:r>
                        <w:rPr>
                          <w:lang w:eastAsia="zh-CN"/>
                        </w:rPr>
                        <w:t xml:space="preserve"> it is in line with country-specific regulatory directives.</w:t>
                      </w:r>
                    </w:p>
                    <w:p w14:paraId="3BC42E0E" w14:textId="77777777" w:rsidR="009917FE" w:rsidRDefault="009917FE" w:rsidP="009917FE">
                      <w:pPr>
                        <w:pStyle w:val="B2"/>
                        <w:ind w:left="720" w:firstLine="0"/>
                        <w:rPr>
                          <w:lang w:eastAsia="zh-CN"/>
                        </w:rPr>
                      </w:pPr>
                      <w:r>
                        <w:rPr>
                          <w:lang w:eastAsia="zh-CN"/>
                        </w:rPr>
                        <w:t>Note 2: UEs supporting a band in the range of 52.6GHz-71GHz are not required to support 480kHz SCS and 960kHz SCS.</w:t>
                      </w:r>
                    </w:p>
                    <w:p w14:paraId="7027A2DA" w14:textId="77777777" w:rsidR="009917FE" w:rsidRDefault="009917FE" w:rsidP="009917FE">
                      <w:pPr>
                        <w:pStyle w:val="B2"/>
                        <w:ind w:left="720" w:firstLine="0"/>
                        <w:rPr>
                          <w:lang w:eastAsia="zh-CN"/>
                        </w:rPr>
                      </w:pPr>
                      <w:r>
                        <w:rPr>
                          <w:lang w:eastAsia="zh-CN"/>
                        </w:rPr>
                        <w:t>Note 3: The maximum FFT size required to operate the system in 52.6GHz-71GHz frequency is 4096, and the maximum of RBs per carrier is 275 RBs.</w:t>
                      </w:r>
                    </w:p>
                    <w:p w14:paraId="3B9F883F" w14:textId="77777777" w:rsidR="009917FE" w:rsidRDefault="009917FE" w:rsidP="009917FE">
                      <w:pPr>
                        <w:pStyle w:val="B2"/>
                        <w:ind w:left="720" w:firstLine="0"/>
                        <w:rPr>
                          <w:lang w:eastAsia="zh-CN"/>
                        </w:rPr>
                      </w:pPr>
                      <w:r>
                        <w:rPr>
                          <w:lang w:eastAsia="zh-CN"/>
                        </w:rPr>
                        <w:t>Note 4: the system is designed to support both single-carrier and multi-carrier operation.</w:t>
                      </w:r>
                    </w:p>
                    <w:p w14:paraId="723AA6E2" w14:textId="77777777" w:rsidR="009917FE" w:rsidRDefault="009917FE" w:rsidP="009917FE">
                      <w:pPr>
                        <w:pStyle w:val="B2"/>
                        <w:ind w:left="720" w:firstLine="0"/>
                        <w:rPr>
                          <w:lang w:eastAsia="zh-CN"/>
                        </w:rPr>
                      </w:pPr>
                      <w:bookmarkStart w:id="2" w:name="_Hlk58594589"/>
                      <w:r>
                        <w:rPr>
                          <w:lang w:eastAsia="zh-CN"/>
                        </w:rPr>
                        <w:t xml:space="preserve">Note 5: RAN plenary will decide </w:t>
                      </w:r>
                      <w:bookmarkEnd w:id="2"/>
                      <w:r>
                        <w:rPr>
                          <w:lang w:eastAsia="zh-CN"/>
                        </w:rPr>
                        <w:t>whether new FR (e.g. FR3) shall be defined for the frequency range from 52.6GHz-71GHz or the existing FR2 shall be extended to cover frequency range from 52.6GHz-71GHz.</w:t>
                      </w:r>
                    </w:p>
                    <w:p w14:paraId="4F212FAD" w14:textId="77777777" w:rsidR="009917FE" w:rsidRDefault="009917FE" w:rsidP="009917FE">
                      <w:pPr>
                        <w:spacing w:after="0"/>
                        <w:rPr>
                          <w:bCs/>
                          <w:lang w:eastAsia="en-GB"/>
                        </w:rPr>
                      </w:pPr>
                      <w:bookmarkStart w:id="3" w:name="_Hlk58524207"/>
                      <w:proofErr w:type="gramStart"/>
                      <w:r>
                        <w:rPr>
                          <w:bCs/>
                        </w:rPr>
                        <w:t>Similar to</w:t>
                      </w:r>
                      <w:proofErr w:type="gramEnd"/>
                      <w:r>
                        <w:rPr>
                          <w:bCs/>
                        </w:rPr>
                        <w:t xml:space="preserve"> regular NR and NR-U operations below 52.6GHz, NR/NR-U operation in the 52.6GHz to 71GHz can be in stand-alone or aggregated via CA or DC with an anchor carrier.  </w:t>
                      </w:r>
                      <w:bookmarkEnd w:id="3"/>
                    </w:p>
                    <w:p w14:paraId="6853A915" w14:textId="1781ECB5" w:rsidR="009917FE" w:rsidRDefault="009917FE"/>
                  </w:txbxContent>
                </v:textbox>
                <w10:wrap type="square" anchorx="margin"/>
              </v:shape>
            </w:pict>
          </mc:Fallback>
        </mc:AlternateContent>
      </w:r>
      <w:r w:rsidRPr="009917FE">
        <w:rPr>
          <w:lang w:val="en-US"/>
        </w:rPr>
        <w:t xml:space="preserve">The </w:t>
      </w:r>
      <w:r>
        <w:rPr>
          <w:lang w:val="en-US"/>
        </w:rPr>
        <w:t>latest version of the work item for extending NR operation to 71 GHz can be found in [1]. The RAN4 related objectives are reproduces below.</w:t>
      </w:r>
    </w:p>
    <w:p w14:paraId="5131B084" w14:textId="693BF0D1" w:rsidR="007F6ECA" w:rsidRDefault="009917FE" w:rsidP="00752CCD">
      <w:pPr>
        <w:pStyle w:val="BodyText"/>
        <w:rPr>
          <w:lang w:val="en-US"/>
        </w:rPr>
      </w:pPr>
      <w:r>
        <w:rPr>
          <w:lang w:val="en-US"/>
        </w:rPr>
        <w:lastRenderedPageBreak/>
        <w:t xml:space="preserve">When we look at the RAN4 specific requirements they are very broad, mainly stating to specify new band(s) and core requirements for the band(s). Therefore, it is useful to consider can RAN4 </w:t>
      </w:r>
      <w:r w:rsidR="00C7596A">
        <w:rPr>
          <w:lang w:val="en-US"/>
        </w:rPr>
        <w:t>target</w:t>
      </w:r>
      <w:r>
        <w:rPr>
          <w:lang w:val="en-US"/>
        </w:rPr>
        <w:t xml:space="preserve"> a more well-defined scope for the work to enable smooth progress of the work item.</w:t>
      </w:r>
    </w:p>
    <w:p w14:paraId="590D345F" w14:textId="350AEEE3" w:rsidR="00C7596A" w:rsidRDefault="00C7596A" w:rsidP="00752CCD">
      <w:pPr>
        <w:pStyle w:val="BodyText"/>
        <w:rPr>
          <w:lang w:val="en-US"/>
        </w:rPr>
      </w:pPr>
      <w:r>
        <w:rPr>
          <w:lang w:val="en-US"/>
        </w:rPr>
        <w:t>As stated in the work item objectives, there is a need to agree on the applicable operating band</w:t>
      </w:r>
      <w:r w:rsidR="001D25FD">
        <w:rPr>
          <w:lang w:val="en-US"/>
        </w:rPr>
        <w:t xml:space="preserve">(s). It should be also noted that both licensed and unlicensed operation are in scope of the work item. However, </w:t>
      </w:r>
      <w:proofErr w:type="gramStart"/>
      <w:r w:rsidR="001D25FD">
        <w:rPr>
          <w:lang w:val="en-US"/>
        </w:rPr>
        <w:t>at the moment</w:t>
      </w:r>
      <w:proofErr w:type="gramEnd"/>
      <w:r w:rsidR="001D25FD">
        <w:rPr>
          <w:lang w:val="en-US"/>
        </w:rPr>
        <w:t xml:space="preserve"> we are not aware of any licensed spectrum allocations for the 52.6 – 71 GHz frequency. </w:t>
      </w:r>
      <w:proofErr w:type="gramStart"/>
      <w:r w:rsidR="001D25FD">
        <w:rPr>
          <w:lang w:val="en-US"/>
        </w:rPr>
        <w:t>As a consequence</w:t>
      </w:r>
      <w:proofErr w:type="gramEnd"/>
      <w:r w:rsidR="001D25FD">
        <w:rPr>
          <w:lang w:val="en-US"/>
        </w:rPr>
        <w:t>, we also lack the spectrum rules for licensed operation, which prevents proceeding with many RF requirements as e.g. spurious emissions requirements are set by regulations.</w:t>
      </w:r>
    </w:p>
    <w:p w14:paraId="7F7B46F7" w14:textId="5EE80400" w:rsidR="001D25FD" w:rsidRDefault="001D25FD" w:rsidP="00752CCD">
      <w:pPr>
        <w:pStyle w:val="BodyText"/>
        <w:rPr>
          <w:lang w:val="en-US"/>
        </w:rPr>
      </w:pPr>
      <w:r>
        <w:rPr>
          <w:lang w:val="en-US"/>
        </w:rPr>
        <w:t>On the other hand, there are unlicensed regulations available. Therefore, to progress with the work item the work could start with considering unlicensed operation and unlicensed operating band. Work on licensed operation could start when regulatory rules are available.</w:t>
      </w:r>
    </w:p>
    <w:p w14:paraId="05EE6200" w14:textId="799DECAC" w:rsidR="001D25FD" w:rsidRDefault="001D25FD" w:rsidP="00752CCD">
      <w:pPr>
        <w:pStyle w:val="BodyText"/>
        <w:rPr>
          <w:lang w:val="en-US"/>
        </w:rPr>
      </w:pPr>
      <w:r>
        <w:rPr>
          <w:lang w:val="en-US"/>
        </w:rPr>
        <w:t>Considering unlicensed operation will also enable opportunities to re-use or leverage existing unlicensed specifications, for example EN 302 567 and channel arrangements set in IEEE 802.11 ad/ay.</w:t>
      </w:r>
    </w:p>
    <w:p w14:paraId="0FBF8683" w14:textId="3A8D8B27" w:rsidR="001D25FD" w:rsidRDefault="001D25FD" w:rsidP="00752CCD">
      <w:pPr>
        <w:pStyle w:val="BodyText"/>
        <w:rPr>
          <w:b/>
          <w:bCs/>
          <w:lang w:val="en-US"/>
        </w:rPr>
      </w:pPr>
      <w:r w:rsidRPr="001D25FD">
        <w:rPr>
          <w:b/>
          <w:bCs/>
          <w:lang w:val="en-US"/>
        </w:rPr>
        <w:t>Proposal 1:</w:t>
      </w:r>
      <w:r>
        <w:rPr>
          <w:b/>
          <w:bCs/>
          <w:lang w:val="en-US"/>
        </w:rPr>
        <w:t xml:space="preserve"> RAN4 to progress the core requirement work considering unlicensed operation until licensed regulatory rules are available.</w:t>
      </w:r>
    </w:p>
    <w:p w14:paraId="63203CFE" w14:textId="217C3368" w:rsidR="001D25FD" w:rsidRDefault="007C78BF" w:rsidP="00752CCD">
      <w:pPr>
        <w:pStyle w:val="BodyText"/>
        <w:rPr>
          <w:lang w:val="en-US"/>
        </w:rPr>
      </w:pPr>
      <w:r>
        <w:rPr>
          <w:lang w:val="en-US"/>
        </w:rPr>
        <w:t>When it comes to UE requirements one very defining factor is which form factors and therefore also what kind of power classes are of interest. These aspects guide the expectations on minimum peak EIRP and spherical coverage requirements</w:t>
      </w:r>
      <w:r w:rsidR="00F35D8D">
        <w:rPr>
          <w:lang w:val="en-US"/>
        </w:rPr>
        <w:t xml:space="preserve"> </w:t>
      </w:r>
      <w:proofErr w:type="gramStart"/>
      <w:r w:rsidR="00F35D8D">
        <w:rPr>
          <w:lang w:val="en-US"/>
        </w:rPr>
        <w:t>and also</w:t>
      </w:r>
      <w:proofErr w:type="gramEnd"/>
      <w:r w:rsidR="00F35D8D">
        <w:rPr>
          <w:lang w:val="en-US"/>
        </w:rPr>
        <w:t xml:space="preserve"> improve the common understanding between companies on what kind of product is actually being considered. Naturally, the work is contribution driven, but we see it worthwhile to try to give a clear scope for the work.</w:t>
      </w:r>
    </w:p>
    <w:p w14:paraId="34CCDF18" w14:textId="53A2A0B3" w:rsidR="00F35D8D" w:rsidRDefault="00F35D8D" w:rsidP="00752CCD">
      <w:pPr>
        <w:pStyle w:val="BodyText"/>
        <w:rPr>
          <w:lang w:val="en-US"/>
        </w:rPr>
      </w:pPr>
      <w:r w:rsidRPr="7BB0A8F9">
        <w:rPr>
          <w:lang w:val="en-US"/>
        </w:rPr>
        <w:t>Overall, requirements like minimum peak EIRP and spherical coverage are important to define clearly as only after they have been settled, RAN4 can proceed to discuss the details of MPR and possible A-MPR. This order of how to proceed with different requirements is also useful to consider in the work plan.</w:t>
      </w:r>
    </w:p>
    <w:p w14:paraId="09BC4ABB" w14:textId="436A1263" w:rsidR="549EF8B4" w:rsidRDefault="549EF8B4" w:rsidP="7BB0A8F9">
      <w:pPr>
        <w:pStyle w:val="BodyText"/>
        <w:rPr>
          <w:lang w:val="en-US"/>
        </w:rPr>
      </w:pPr>
      <w:r w:rsidRPr="7BB0A8F9">
        <w:rPr>
          <w:lang w:val="en-US"/>
        </w:rPr>
        <w:t>It can also be observed that existing rules and regulations for unlicensed operation like EN 302 567 and o</w:t>
      </w:r>
      <w:r w:rsidR="369967D0" w:rsidRPr="7BB0A8F9">
        <w:rPr>
          <w:lang w:val="en-US"/>
        </w:rPr>
        <w:t xml:space="preserve">thers captured in TR 38.807 set maximum EIRP at 40 dBm. </w:t>
      </w:r>
      <w:r w:rsidR="5D7F19D3" w:rsidRPr="7BB0A8F9">
        <w:rPr>
          <w:lang w:val="en-US"/>
        </w:rPr>
        <w:t>This does not match with the current UE power classes defined for FR2 in 38.101-2.</w:t>
      </w:r>
    </w:p>
    <w:p w14:paraId="4F51073D" w14:textId="2644A48D" w:rsidR="00F35D8D" w:rsidRPr="00F35D8D" w:rsidRDefault="00F35D8D" w:rsidP="00752CCD">
      <w:pPr>
        <w:pStyle w:val="BodyText"/>
        <w:rPr>
          <w:b/>
          <w:bCs/>
          <w:lang w:val="en-US"/>
        </w:rPr>
      </w:pPr>
      <w:r w:rsidRPr="00F35D8D">
        <w:rPr>
          <w:b/>
          <w:bCs/>
          <w:lang w:val="en-US"/>
        </w:rPr>
        <w:t>Proposal 2:</w:t>
      </w:r>
      <w:r>
        <w:rPr>
          <w:b/>
          <w:bCs/>
          <w:lang w:val="en-US"/>
        </w:rPr>
        <w:t xml:space="preserve"> RAN4 shall aim to define the targeted UE form factors to help power class definition.</w:t>
      </w:r>
    </w:p>
    <w:p w14:paraId="05520456" w14:textId="77777777" w:rsidR="00C44C99" w:rsidRDefault="00F35D8D" w:rsidP="00C44C99">
      <w:pPr>
        <w:pStyle w:val="BodyText"/>
        <w:rPr>
          <w:lang w:val="en-US"/>
        </w:rPr>
      </w:pPr>
      <w:r>
        <w:rPr>
          <w:lang w:val="en-US"/>
        </w:rPr>
        <w:t xml:space="preserve">Finally, RAN#91-e worked on revision of study on enhanced test methods for FR2 to </w:t>
      </w:r>
      <w:proofErr w:type="gramStart"/>
      <w:r>
        <w:rPr>
          <w:lang w:val="en-US"/>
        </w:rPr>
        <w:t>include also</w:t>
      </w:r>
      <w:proofErr w:type="gramEnd"/>
      <w:r>
        <w:rPr>
          <w:lang w:val="en-US"/>
        </w:rPr>
        <w:t xml:space="preserve"> </w:t>
      </w:r>
      <w:r w:rsidR="009917FE" w:rsidRPr="009917FE">
        <w:rPr>
          <w:lang w:val="en-US"/>
        </w:rPr>
        <w:t>UE testability</w:t>
      </w:r>
      <w:r>
        <w:rPr>
          <w:lang w:val="en-US"/>
        </w:rPr>
        <w:t xml:space="preserve"> aspects of 52.6 – 71 GHz</w:t>
      </w:r>
      <w:r w:rsidR="00C44C99">
        <w:rPr>
          <w:lang w:val="en-US"/>
        </w:rPr>
        <w:t xml:space="preserve"> [2]</w:t>
      </w:r>
      <w:r>
        <w:rPr>
          <w:lang w:val="en-US"/>
        </w:rPr>
        <w:t xml:space="preserve">. </w:t>
      </w:r>
      <w:r w:rsidR="00C44C99">
        <w:rPr>
          <w:lang w:val="en-US"/>
        </w:rPr>
        <w:t xml:space="preserve">In the end, the revision was not agreed due to workload aspects, as mentioned in the RAN plenary chair email to RAN reflector. As part of the revised SID, it was mentioned that </w:t>
      </w:r>
    </w:p>
    <w:p w14:paraId="4DF9BB45" w14:textId="795D2499" w:rsidR="00C44C99" w:rsidRDefault="00C44C99" w:rsidP="00C44C99">
      <w:pPr>
        <w:pStyle w:val="BodyText"/>
        <w:ind w:firstLine="284"/>
        <w:rPr>
          <w:lang w:val="en-US" w:eastAsia="zh-CN"/>
        </w:rPr>
      </w:pPr>
      <w:r w:rsidRPr="00C44C99">
        <w:rPr>
          <w:i/>
          <w:iCs/>
          <w:lang w:val="en-US" w:eastAsia="zh-CN"/>
        </w:rPr>
        <w:t>unfinished UE testability aspects, if any, do not impact setting UE core requirements and completing the NR &gt; 52.6 GHz WI</w:t>
      </w:r>
      <w:r>
        <w:rPr>
          <w:i/>
          <w:iCs/>
          <w:lang w:val="en-US" w:eastAsia="zh-CN"/>
        </w:rPr>
        <w:t xml:space="preserve">. </w:t>
      </w:r>
    </w:p>
    <w:p w14:paraId="0F44540D" w14:textId="76F6585A" w:rsidR="00C44C99" w:rsidRDefault="00C44C99" w:rsidP="00C44C99">
      <w:pPr>
        <w:pStyle w:val="BodyText"/>
        <w:rPr>
          <w:lang w:val="en-US" w:eastAsia="zh-CN"/>
        </w:rPr>
      </w:pPr>
      <w:r>
        <w:rPr>
          <w:lang w:val="en-US" w:eastAsia="zh-CN"/>
        </w:rPr>
        <w:t>We see this is very important statement to be adopted in RAN4 to be able to proceed with this work item, especially considering that currently the UE testability discussion for these frequencies is not part of the any SI/WI.</w:t>
      </w:r>
    </w:p>
    <w:p w14:paraId="465E857B" w14:textId="10A8E716" w:rsidR="00C44C99" w:rsidRPr="00C44C99" w:rsidRDefault="00C44C99" w:rsidP="00F35D8D">
      <w:pPr>
        <w:pStyle w:val="BodyText"/>
        <w:rPr>
          <w:b/>
          <w:bCs/>
          <w:lang w:val="en-US" w:eastAsia="zh-CN"/>
        </w:rPr>
      </w:pPr>
      <w:r w:rsidRPr="00C44C99">
        <w:rPr>
          <w:b/>
          <w:bCs/>
          <w:lang w:val="en-US" w:eastAsia="zh-CN"/>
        </w:rPr>
        <w:t xml:space="preserve">Proposal 3: Unfinished UE testability aspects shall not impact setting UE core requirements and completing the NR &gt; 52.6 GHz WI. </w:t>
      </w:r>
    </w:p>
    <w:p w14:paraId="3A7886CD" w14:textId="573F4241" w:rsidR="0012171E" w:rsidRDefault="00065A7B" w:rsidP="009E2215">
      <w:pPr>
        <w:pStyle w:val="Heading1"/>
        <w:rPr>
          <w:lang w:eastAsia="zh-CN"/>
        </w:rPr>
      </w:pPr>
      <w:proofErr w:type="spellStart"/>
      <w:r>
        <w:rPr>
          <w:lang w:eastAsia="zh-CN"/>
        </w:rPr>
        <w:t>Conclusion</w:t>
      </w:r>
      <w:proofErr w:type="spellEnd"/>
      <w:r w:rsidR="009E2215">
        <w:rPr>
          <w:lang w:eastAsia="zh-CN"/>
        </w:rPr>
        <w:t xml:space="preserve"> </w:t>
      </w:r>
    </w:p>
    <w:p w14:paraId="2E355DCE" w14:textId="5ADF1029" w:rsidR="00CD5359" w:rsidRDefault="00BA1B29" w:rsidP="005B7D61">
      <w:pPr>
        <w:rPr>
          <w:lang w:val="sv-SE" w:eastAsia="zh-CN"/>
        </w:rPr>
      </w:pPr>
      <w:r>
        <w:rPr>
          <w:lang w:val="sv-SE" w:eastAsia="zh-CN"/>
        </w:rPr>
        <w:t xml:space="preserve">In </w:t>
      </w:r>
      <w:proofErr w:type="spellStart"/>
      <w:r w:rsidR="00C44C99">
        <w:rPr>
          <w:lang w:val="sv-SE" w:eastAsia="zh-CN"/>
        </w:rPr>
        <w:t>this</w:t>
      </w:r>
      <w:proofErr w:type="spellEnd"/>
      <w:r w:rsidR="00C44C99">
        <w:rPr>
          <w:lang w:val="sv-SE" w:eastAsia="zh-CN"/>
        </w:rPr>
        <w:t xml:space="preserve"> </w:t>
      </w:r>
      <w:proofErr w:type="spellStart"/>
      <w:r w:rsidR="00C44C99">
        <w:rPr>
          <w:lang w:val="sv-SE" w:eastAsia="zh-CN"/>
        </w:rPr>
        <w:t>contribution</w:t>
      </w:r>
      <w:proofErr w:type="spellEnd"/>
      <w:r w:rsidR="00C44C99">
        <w:rPr>
          <w:lang w:val="sv-SE" w:eastAsia="zh-CN"/>
        </w:rPr>
        <w:t xml:space="preserve"> the </w:t>
      </w:r>
      <w:proofErr w:type="spellStart"/>
      <w:r w:rsidR="00C44C99">
        <w:rPr>
          <w:lang w:val="sv-SE" w:eastAsia="zh-CN"/>
        </w:rPr>
        <w:t>scope</w:t>
      </w:r>
      <w:proofErr w:type="spellEnd"/>
      <w:r w:rsidR="00C44C99">
        <w:rPr>
          <w:lang w:val="sv-SE" w:eastAsia="zh-CN"/>
        </w:rPr>
        <w:t xml:space="preserve"> and </w:t>
      </w:r>
      <w:proofErr w:type="spellStart"/>
      <w:r w:rsidR="00C44C99">
        <w:rPr>
          <w:lang w:val="sv-SE" w:eastAsia="zh-CN"/>
        </w:rPr>
        <w:t>work</w:t>
      </w:r>
      <w:proofErr w:type="spellEnd"/>
      <w:r w:rsidR="00C44C99">
        <w:rPr>
          <w:lang w:val="sv-SE" w:eastAsia="zh-CN"/>
        </w:rPr>
        <w:t xml:space="preserve"> plan </w:t>
      </w:r>
      <w:proofErr w:type="spellStart"/>
      <w:r w:rsidR="00C44C99">
        <w:rPr>
          <w:lang w:val="sv-SE" w:eastAsia="zh-CN"/>
        </w:rPr>
        <w:t>of</w:t>
      </w:r>
      <w:proofErr w:type="spellEnd"/>
      <w:r w:rsidR="00C44C99">
        <w:rPr>
          <w:lang w:val="sv-SE" w:eastAsia="zh-CN"/>
        </w:rPr>
        <w:t xml:space="preserve"> </w:t>
      </w:r>
      <w:proofErr w:type="spellStart"/>
      <w:r w:rsidR="00C44C99">
        <w:rPr>
          <w:lang w:val="sv-SE" w:eastAsia="zh-CN"/>
        </w:rPr>
        <w:t>extending</w:t>
      </w:r>
      <w:proofErr w:type="spellEnd"/>
      <w:r w:rsidR="00C44C99">
        <w:rPr>
          <w:lang w:val="sv-SE" w:eastAsia="zh-CN"/>
        </w:rPr>
        <w:t xml:space="preserve"> NR operation to 71 GHz </w:t>
      </w:r>
      <w:proofErr w:type="spellStart"/>
      <w:r w:rsidR="00C44C99">
        <w:rPr>
          <w:lang w:val="sv-SE" w:eastAsia="zh-CN"/>
        </w:rPr>
        <w:t>was</w:t>
      </w:r>
      <w:proofErr w:type="spellEnd"/>
      <w:r w:rsidR="00C44C99">
        <w:rPr>
          <w:lang w:val="sv-SE" w:eastAsia="zh-CN"/>
        </w:rPr>
        <w:t xml:space="preserve"> </w:t>
      </w:r>
      <w:proofErr w:type="spellStart"/>
      <w:r w:rsidR="00C44C99">
        <w:rPr>
          <w:lang w:val="sv-SE" w:eastAsia="zh-CN"/>
        </w:rPr>
        <w:t>discussed</w:t>
      </w:r>
      <w:proofErr w:type="spellEnd"/>
      <w:r w:rsidR="00C44C99">
        <w:rPr>
          <w:lang w:val="sv-SE" w:eastAsia="zh-CN"/>
        </w:rPr>
        <w:t xml:space="preserve">. </w:t>
      </w:r>
      <w:proofErr w:type="spellStart"/>
      <w:r w:rsidR="00C44C99">
        <w:rPr>
          <w:lang w:val="sv-SE" w:eastAsia="zh-CN"/>
        </w:rPr>
        <w:t>Following</w:t>
      </w:r>
      <w:proofErr w:type="spellEnd"/>
      <w:r w:rsidR="00C44C99">
        <w:rPr>
          <w:lang w:val="sv-SE" w:eastAsia="zh-CN"/>
        </w:rPr>
        <w:t xml:space="preserve"> </w:t>
      </w:r>
      <w:proofErr w:type="spellStart"/>
      <w:r w:rsidR="00C44C99">
        <w:rPr>
          <w:lang w:val="sv-SE" w:eastAsia="zh-CN"/>
        </w:rPr>
        <w:t>proposals</w:t>
      </w:r>
      <w:proofErr w:type="spellEnd"/>
      <w:r w:rsidR="00C44C99">
        <w:rPr>
          <w:lang w:val="sv-SE" w:eastAsia="zh-CN"/>
        </w:rPr>
        <w:t xml:space="preserve"> </w:t>
      </w:r>
      <w:proofErr w:type="spellStart"/>
      <w:r w:rsidR="00C44C99">
        <w:rPr>
          <w:lang w:val="sv-SE" w:eastAsia="zh-CN"/>
        </w:rPr>
        <w:t>were</w:t>
      </w:r>
      <w:proofErr w:type="spellEnd"/>
      <w:r w:rsidR="00C44C99">
        <w:rPr>
          <w:lang w:val="sv-SE" w:eastAsia="zh-CN"/>
        </w:rPr>
        <w:t xml:space="preserve"> </w:t>
      </w:r>
      <w:proofErr w:type="spellStart"/>
      <w:r w:rsidR="00C44C99">
        <w:rPr>
          <w:lang w:val="sv-SE" w:eastAsia="zh-CN"/>
        </w:rPr>
        <w:t>made</w:t>
      </w:r>
      <w:proofErr w:type="spellEnd"/>
      <w:r w:rsidR="00C44C99">
        <w:rPr>
          <w:lang w:val="sv-SE" w:eastAsia="zh-CN"/>
        </w:rPr>
        <w:t>:</w:t>
      </w:r>
    </w:p>
    <w:p w14:paraId="3E996739" w14:textId="77777777" w:rsidR="00C44C99" w:rsidRDefault="00C44C99" w:rsidP="00C44C99">
      <w:pPr>
        <w:pStyle w:val="BodyText"/>
        <w:rPr>
          <w:b/>
          <w:bCs/>
          <w:lang w:val="en-US"/>
        </w:rPr>
      </w:pPr>
      <w:r w:rsidRPr="001D25FD">
        <w:rPr>
          <w:b/>
          <w:bCs/>
          <w:lang w:val="en-US"/>
        </w:rPr>
        <w:lastRenderedPageBreak/>
        <w:t>Proposal 1:</w:t>
      </w:r>
      <w:r>
        <w:rPr>
          <w:b/>
          <w:bCs/>
          <w:lang w:val="en-US"/>
        </w:rPr>
        <w:t xml:space="preserve"> RAN4 to progress the core requirement work considering unlicensed operation until licensed regulatory rules are available.</w:t>
      </w:r>
    </w:p>
    <w:p w14:paraId="5E338B6D" w14:textId="07CAD6AF" w:rsidR="00C44C99" w:rsidRDefault="00C44C99" w:rsidP="00C44C99">
      <w:pPr>
        <w:pStyle w:val="BodyText"/>
        <w:rPr>
          <w:b/>
          <w:bCs/>
          <w:lang w:val="en-US"/>
        </w:rPr>
      </w:pPr>
      <w:r w:rsidRPr="00F35D8D">
        <w:rPr>
          <w:b/>
          <w:bCs/>
          <w:lang w:val="en-US"/>
        </w:rPr>
        <w:t>Proposal 2:</w:t>
      </w:r>
      <w:r>
        <w:rPr>
          <w:b/>
          <w:bCs/>
          <w:lang w:val="en-US"/>
        </w:rPr>
        <w:t xml:space="preserve"> RAN4 shall aim to define the targeted UE form factors to help power class definition.</w:t>
      </w:r>
    </w:p>
    <w:p w14:paraId="4813DE39" w14:textId="77777777" w:rsidR="00C44C99" w:rsidRPr="00C44C99" w:rsidRDefault="00C44C99" w:rsidP="00C44C99">
      <w:pPr>
        <w:pStyle w:val="BodyText"/>
        <w:rPr>
          <w:b/>
          <w:bCs/>
          <w:lang w:val="en-US" w:eastAsia="zh-CN"/>
        </w:rPr>
      </w:pPr>
      <w:r w:rsidRPr="00C44C99">
        <w:rPr>
          <w:b/>
          <w:bCs/>
          <w:lang w:val="en-US" w:eastAsia="zh-CN"/>
        </w:rPr>
        <w:t xml:space="preserve">Proposal 3: Unfinished UE testability aspects shall not impact setting UE core requirements and completing the NR &gt; 52.6 GHz WI. </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3C9647B2" w:rsidR="00752CCD" w:rsidRDefault="00065A7B" w:rsidP="00752CCD">
      <w:pPr>
        <w:rPr>
          <w:lang w:val="en-US" w:eastAsia="ja-JP"/>
        </w:rPr>
      </w:pPr>
      <w:r>
        <w:rPr>
          <w:lang w:val="en-US" w:eastAsia="ja-JP"/>
        </w:rPr>
        <w:t xml:space="preserve">[1] </w:t>
      </w:r>
      <w:r w:rsidR="009917FE">
        <w:rPr>
          <w:lang w:val="en-US" w:eastAsia="ja-JP"/>
        </w:rPr>
        <w:t>RP-210862, Revised WID: Extending current NR operation to 71 GHz, CMCC</w:t>
      </w:r>
    </w:p>
    <w:p w14:paraId="6C494417" w14:textId="3C6EC549" w:rsidR="00C44C99" w:rsidRPr="00CB4521" w:rsidRDefault="00C44C99" w:rsidP="00752CCD">
      <w:pPr>
        <w:rPr>
          <w:lang w:val="en-US" w:eastAsia="ja-JP"/>
        </w:rPr>
      </w:pPr>
      <w:r>
        <w:rPr>
          <w:lang w:val="en-US" w:eastAsia="ja-JP"/>
        </w:rPr>
        <w:t>[2] RP-210885, Revised SID: Study on enhanced test methods for FR2, Apple Inc. vivo, Intel Corporation.</w:t>
      </w:r>
    </w:p>
    <w:p w14:paraId="7E3D9B52" w14:textId="6E730CD8" w:rsidR="00EC34B7" w:rsidRPr="00CB4521" w:rsidRDefault="00EC34B7" w:rsidP="00F46D37">
      <w:pPr>
        <w:rPr>
          <w:lang w:val="en-US" w:eastAsia="ja-JP"/>
        </w:rPr>
      </w:pPr>
    </w:p>
    <w:sectPr w:rsidR="00EC34B7" w:rsidRPr="00CB452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9E767" w14:textId="77777777" w:rsidR="00E32F1E" w:rsidRDefault="00E32F1E" w:rsidP="001E365C">
      <w:pPr>
        <w:spacing w:after="0"/>
      </w:pPr>
      <w:r>
        <w:separator/>
      </w:r>
    </w:p>
  </w:endnote>
  <w:endnote w:type="continuationSeparator" w:id="0">
    <w:p w14:paraId="4ECBC860" w14:textId="77777777" w:rsidR="00E32F1E" w:rsidRDefault="00E32F1E" w:rsidP="001E365C">
      <w:pPr>
        <w:spacing w:after="0"/>
      </w:pPr>
      <w:r>
        <w:continuationSeparator/>
      </w:r>
    </w:p>
  </w:endnote>
  <w:endnote w:type="continuationNotice" w:id="1">
    <w:p w14:paraId="07F62E26" w14:textId="77777777" w:rsidR="00E32F1E" w:rsidRDefault="00E32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C4042" w14:textId="77777777" w:rsidR="00E32F1E" w:rsidRDefault="00E32F1E" w:rsidP="001E365C">
      <w:pPr>
        <w:spacing w:after="0"/>
      </w:pPr>
      <w:r>
        <w:separator/>
      </w:r>
    </w:p>
  </w:footnote>
  <w:footnote w:type="continuationSeparator" w:id="0">
    <w:p w14:paraId="7123E845" w14:textId="77777777" w:rsidR="00E32F1E" w:rsidRDefault="00E32F1E" w:rsidP="001E365C">
      <w:pPr>
        <w:spacing w:after="0"/>
      </w:pPr>
      <w:r>
        <w:continuationSeparator/>
      </w:r>
    </w:p>
  </w:footnote>
  <w:footnote w:type="continuationNotice" w:id="1">
    <w:p w14:paraId="58D26D5D" w14:textId="77777777" w:rsidR="00E32F1E" w:rsidRDefault="00E32F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02D53"/>
    <w:multiLevelType w:val="hybridMultilevel"/>
    <w:tmpl w:val="E6AACAC2"/>
    <w:lvl w:ilvl="0" w:tplc="0122CF2E">
      <w:start w:val="1"/>
      <w:numFmt w:val="bullet"/>
      <w:lvlText w:val="•"/>
      <w:lvlJc w:val="left"/>
      <w:pPr>
        <w:tabs>
          <w:tab w:val="num" w:pos="720"/>
        </w:tabs>
        <w:ind w:left="720" w:hanging="360"/>
      </w:pPr>
      <w:rPr>
        <w:rFonts w:ascii="Arial" w:hAnsi="Arial" w:hint="default"/>
      </w:rPr>
    </w:lvl>
    <w:lvl w:ilvl="1" w:tplc="C16AB502">
      <w:numFmt w:val="bullet"/>
      <w:lvlText w:val="•"/>
      <w:lvlJc w:val="left"/>
      <w:pPr>
        <w:tabs>
          <w:tab w:val="num" w:pos="1440"/>
        </w:tabs>
        <w:ind w:left="1440" w:hanging="360"/>
      </w:pPr>
      <w:rPr>
        <w:rFonts w:ascii="Arial" w:hAnsi="Arial" w:hint="default"/>
      </w:rPr>
    </w:lvl>
    <w:lvl w:ilvl="2" w:tplc="8FB23D5E">
      <w:start w:val="1"/>
      <w:numFmt w:val="bullet"/>
      <w:lvlText w:val="•"/>
      <w:lvlJc w:val="left"/>
      <w:pPr>
        <w:tabs>
          <w:tab w:val="num" w:pos="2160"/>
        </w:tabs>
        <w:ind w:left="2160" w:hanging="360"/>
      </w:pPr>
      <w:rPr>
        <w:rFonts w:ascii="Arial" w:hAnsi="Arial" w:hint="default"/>
      </w:rPr>
    </w:lvl>
    <w:lvl w:ilvl="3" w:tplc="C33EC5AA" w:tentative="1">
      <w:start w:val="1"/>
      <w:numFmt w:val="bullet"/>
      <w:lvlText w:val="•"/>
      <w:lvlJc w:val="left"/>
      <w:pPr>
        <w:tabs>
          <w:tab w:val="num" w:pos="2880"/>
        </w:tabs>
        <w:ind w:left="2880" w:hanging="360"/>
      </w:pPr>
      <w:rPr>
        <w:rFonts w:ascii="Arial" w:hAnsi="Arial" w:hint="default"/>
      </w:rPr>
    </w:lvl>
    <w:lvl w:ilvl="4" w:tplc="992C9B40" w:tentative="1">
      <w:start w:val="1"/>
      <w:numFmt w:val="bullet"/>
      <w:lvlText w:val="•"/>
      <w:lvlJc w:val="left"/>
      <w:pPr>
        <w:tabs>
          <w:tab w:val="num" w:pos="3600"/>
        </w:tabs>
        <w:ind w:left="3600" w:hanging="360"/>
      </w:pPr>
      <w:rPr>
        <w:rFonts w:ascii="Arial" w:hAnsi="Arial" w:hint="default"/>
      </w:rPr>
    </w:lvl>
    <w:lvl w:ilvl="5" w:tplc="6EB0DEE8" w:tentative="1">
      <w:start w:val="1"/>
      <w:numFmt w:val="bullet"/>
      <w:lvlText w:val="•"/>
      <w:lvlJc w:val="left"/>
      <w:pPr>
        <w:tabs>
          <w:tab w:val="num" w:pos="4320"/>
        </w:tabs>
        <w:ind w:left="4320" w:hanging="360"/>
      </w:pPr>
      <w:rPr>
        <w:rFonts w:ascii="Arial" w:hAnsi="Arial" w:hint="default"/>
      </w:rPr>
    </w:lvl>
    <w:lvl w:ilvl="6" w:tplc="1BD2A032" w:tentative="1">
      <w:start w:val="1"/>
      <w:numFmt w:val="bullet"/>
      <w:lvlText w:val="•"/>
      <w:lvlJc w:val="left"/>
      <w:pPr>
        <w:tabs>
          <w:tab w:val="num" w:pos="5040"/>
        </w:tabs>
        <w:ind w:left="5040" w:hanging="360"/>
      </w:pPr>
      <w:rPr>
        <w:rFonts w:ascii="Arial" w:hAnsi="Arial" w:hint="default"/>
      </w:rPr>
    </w:lvl>
    <w:lvl w:ilvl="7" w:tplc="1F5C71A8" w:tentative="1">
      <w:start w:val="1"/>
      <w:numFmt w:val="bullet"/>
      <w:lvlText w:val="•"/>
      <w:lvlJc w:val="left"/>
      <w:pPr>
        <w:tabs>
          <w:tab w:val="num" w:pos="5760"/>
        </w:tabs>
        <w:ind w:left="5760" w:hanging="360"/>
      </w:pPr>
      <w:rPr>
        <w:rFonts w:ascii="Arial" w:hAnsi="Arial" w:hint="default"/>
      </w:rPr>
    </w:lvl>
    <w:lvl w:ilvl="8" w:tplc="B5FCFC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C4DF2"/>
    <w:multiLevelType w:val="hybridMultilevel"/>
    <w:tmpl w:val="CB96D724"/>
    <w:lvl w:ilvl="0" w:tplc="040B0003">
      <w:start w:val="1"/>
      <w:numFmt w:val="bullet"/>
      <w:lvlText w:val="o"/>
      <w:lvlJc w:val="left"/>
      <w:pPr>
        <w:ind w:left="1440" w:hanging="360"/>
      </w:pPr>
      <w:rPr>
        <w:rFonts w:ascii="Courier New" w:hAnsi="Courier New" w:cs="Courier New"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start w:val="1"/>
      <w:numFmt w:val="bullet"/>
      <w:lvlText w:val="o"/>
      <w:lvlJc w:val="left"/>
      <w:pPr>
        <w:ind w:left="4320" w:hanging="360"/>
      </w:pPr>
      <w:rPr>
        <w:rFonts w:ascii="Courier New" w:hAnsi="Courier New" w:cs="Courier New" w:hint="default"/>
      </w:rPr>
    </w:lvl>
    <w:lvl w:ilvl="5" w:tplc="040B0005">
      <w:start w:val="1"/>
      <w:numFmt w:val="bullet"/>
      <w:lvlText w:val=""/>
      <w:lvlJc w:val="left"/>
      <w:pPr>
        <w:ind w:left="5040" w:hanging="360"/>
      </w:pPr>
      <w:rPr>
        <w:rFonts w:ascii="Wingdings" w:hAnsi="Wingdings" w:hint="default"/>
      </w:rPr>
    </w:lvl>
    <w:lvl w:ilvl="6" w:tplc="040B0001">
      <w:start w:val="1"/>
      <w:numFmt w:val="bullet"/>
      <w:lvlText w:val=""/>
      <w:lvlJc w:val="left"/>
      <w:pPr>
        <w:ind w:left="5760" w:hanging="360"/>
      </w:pPr>
      <w:rPr>
        <w:rFonts w:ascii="Symbol" w:hAnsi="Symbol" w:hint="default"/>
      </w:rPr>
    </w:lvl>
    <w:lvl w:ilvl="7" w:tplc="040B0003">
      <w:start w:val="1"/>
      <w:numFmt w:val="bullet"/>
      <w:lvlText w:val="o"/>
      <w:lvlJc w:val="left"/>
      <w:pPr>
        <w:ind w:left="6480" w:hanging="360"/>
      </w:pPr>
      <w:rPr>
        <w:rFonts w:ascii="Courier New" w:hAnsi="Courier New" w:cs="Courier New" w:hint="default"/>
      </w:rPr>
    </w:lvl>
    <w:lvl w:ilvl="8" w:tplc="040B0005">
      <w:start w:val="1"/>
      <w:numFmt w:val="bullet"/>
      <w:lvlText w:val=""/>
      <w:lvlJc w:val="left"/>
      <w:pPr>
        <w:ind w:left="7200"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41B22DE"/>
    <w:multiLevelType w:val="hybridMultilevel"/>
    <w:tmpl w:val="A76E9DA6"/>
    <w:lvl w:ilvl="0" w:tplc="040B0011">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180"/>
      </w:pPr>
      <w:rPr>
        <w:rFonts w:ascii="Courier New" w:hAnsi="Courier New" w:cs="Courier New"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962DC0"/>
    <w:multiLevelType w:val="hybridMultilevel"/>
    <w:tmpl w:val="98462FE8"/>
    <w:lvl w:ilvl="0" w:tplc="EF9E11A8">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1DC7A09"/>
    <w:multiLevelType w:val="hybridMultilevel"/>
    <w:tmpl w:val="C7EA014C"/>
    <w:lvl w:ilvl="0" w:tplc="FA48308C">
      <w:start w:val="6"/>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28F52B1"/>
    <w:multiLevelType w:val="hybridMultilevel"/>
    <w:tmpl w:val="507620DA"/>
    <w:lvl w:ilvl="0" w:tplc="A6C8C7DA">
      <w:start w:val="1"/>
      <w:numFmt w:val="bullet"/>
      <w:lvlText w:val="•"/>
      <w:lvlJc w:val="left"/>
      <w:pPr>
        <w:tabs>
          <w:tab w:val="num" w:pos="720"/>
        </w:tabs>
        <w:ind w:left="720" w:hanging="360"/>
      </w:pPr>
      <w:rPr>
        <w:rFonts w:ascii="Arial" w:hAnsi="Arial" w:hint="default"/>
      </w:rPr>
    </w:lvl>
    <w:lvl w:ilvl="1" w:tplc="6D5A85E6">
      <w:numFmt w:val="bullet"/>
      <w:lvlText w:val="•"/>
      <w:lvlJc w:val="left"/>
      <w:pPr>
        <w:tabs>
          <w:tab w:val="num" w:pos="1440"/>
        </w:tabs>
        <w:ind w:left="1440" w:hanging="360"/>
      </w:pPr>
      <w:rPr>
        <w:rFonts w:ascii="Arial" w:hAnsi="Arial" w:hint="default"/>
      </w:rPr>
    </w:lvl>
    <w:lvl w:ilvl="2" w:tplc="46FC8512">
      <w:start w:val="1"/>
      <w:numFmt w:val="bullet"/>
      <w:lvlText w:val="•"/>
      <w:lvlJc w:val="left"/>
      <w:pPr>
        <w:tabs>
          <w:tab w:val="num" w:pos="2160"/>
        </w:tabs>
        <w:ind w:left="2160" w:hanging="360"/>
      </w:pPr>
      <w:rPr>
        <w:rFonts w:ascii="Arial" w:hAnsi="Arial" w:hint="default"/>
      </w:rPr>
    </w:lvl>
    <w:lvl w:ilvl="3" w:tplc="A7D2C5A0" w:tentative="1">
      <w:start w:val="1"/>
      <w:numFmt w:val="bullet"/>
      <w:lvlText w:val="•"/>
      <w:lvlJc w:val="left"/>
      <w:pPr>
        <w:tabs>
          <w:tab w:val="num" w:pos="2880"/>
        </w:tabs>
        <w:ind w:left="2880" w:hanging="360"/>
      </w:pPr>
      <w:rPr>
        <w:rFonts w:ascii="Arial" w:hAnsi="Arial" w:hint="default"/>
      </w:rPr>
    </w:lvl>
    <w:lvl w:ilvl="4" w:tplc="0B586F26" w:tentative="1">
      <w:start w:val="1"/>
      <w:numFmt w:val="bullet"/>
      <w:lvlText w:val="•"/>
      <w:lvlJc w:val="left"/>
      <w:pPr>
        <w:tabs>
          <w:tab w:val="num" w:pos="3600"/>
        </w:tabs>
        <w:ind w:left="3600" w:hanging="360"/>
      </w:pPr>
      <w:rPr>
        <w:rFonts w:ascii="Arial" w:hAnsi="Arial" w:hint="default"/>
      </w:rPr>
    </w:lvl>
    <w:lvl w:ilvl="5" w:tplc="90B61AC0" w:tentative="1">
      <w:start w:val="1"/>
      <w:numFmt w:val="bullet"/>
      <w:lvlText w:val="•"/>
      <w:lvlJc w:val="left"/>
      <w:pPr>
        <w:tabs>
          <w:tab w:val="num" w:pos="4320"/>
        </w:tabs>
        <w:ind w:left="4320" w:hanging="360"/>
      </w:pPr>
      <w:rPr>
        <w:rFonts w:ascii="Arial" w:hAnsi="Arial" w:hint="default"/>
      </w:rPr>
    </w:lvl>
    <w:lvl w:ilvl="6" w:tplc="803C09C6" w:tentative="1">
      <w:start w:val="1"/>
      <w:numFmt w:val="bullet"/>
      <w:lvlText w:val="•"/>
      <w:lvlJc w:val="left"/>
      <w:pPr>
        <w:tabs>
          <w:tab w:val="num" w:pos="5040"/>
        </w:tabs>
        <w:ind w:left="5040" w:hanging="360"/>
      </w:pPr>
      <w:rPr>
        <w:rFonts w:ascii="Arial" w:hAnsi="Arial" w:hint="default"/>
      </w:rPr>
    </w:lvl>
    <w:lvl w:ilvl="7" w:tplc="339E95C6" w:tentative="1">
      <w:start w:val="1"/>
      <w:numFmt w:val="bullet"/>
      <w:lvlText w:val="•"/>
      <w:lvlJc w:val="left"/>
      <w:pPr>
        <w:tabs>
          <w:tab w:val="num" w:pos="5760"/>
        </w:tabs>
        <w:ind w:left="5760" w:hanging="360"/>
      </w:pPr>
      <w:rPr>
        <w:rFonts w:ascii="Arial" w:hAnsi="Arial" w:hint="default"/>
      </w:rPr>
    </w:lvl>
    <w:lvl w:ilvl="8" w:tplc="7AC66E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4" w15:restartNumberingAfterBreak="0">
    <w:nsid w:val="7BFE15F8"/>
    <w:multiLevelType w:val="hybridMultilevel"/>
    <w:tmpl w:val="63B0CF26"/>
    <w:lvl w:ilvl="0" w:tplc="8070BD80">
      <w:start w:val="1"/>
      <w:numFmt w:val="bullet"/>
      <w:lvlText w:val="-"/>
      <w:lvlJc w:val="left"/>
      <w:pPr>
        <w:ind w:left="1496" w:hanging="360"/>
      </w:pPr>
      <w:rPr>
        <w:rFonts w:ascii="Calibri" w:eastAsia="DengXian" w:hAnsi="Calibri" w:cs="Calibri" w:hint="default"/>
        <w:color w:val="00B050"/>
        <w:sz w:val="22"/>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num w:numId="1">
    <w:abstractNumId w:val="8"/>
  </w:num>
  <w:num w:numId="2">
    <w:abstractNumId w:val="5"/>
  </w:num>
  <w:num w:numId="3">
    <w:abstractNumId w:val="4"/>
  </w:num>
  <w:num w:numId="4">
    <w:abstractNumId w:val="14"/>
  </w:num>
  <w:num w:numId="5">
    <w:abstractNumId w:val="10"/>
  </w:num>
  <w:num w:numId="6">
    <w:abstractNumId w:val="1"/>
  </w:num>
  <w:num w:numId="7">
    <w:abstractNumId w:val="6"/>
  </w:num>
  <w:num w:numId="8">
    <w:abstractNumId w:val="19"/>
  </w:num>
  <w:num w:numId="9">
    <w:abstractNumId w:val="18"/>
  </w:num>
  <w:num w:numId="10">
    <w:abstractNumId w:val="3"/>
  </w:num>
  <w:num w:numId="11">
    <w:abstractNumId w:val="20"/>
  </w:num>
  <w:num w:numId="12">
    <w:abstractNumId w:val="12"/>
  </w:num>
  <w:num w:numId="13">
    <w:abstractNumId w:val="23"/>
  </w:num>
  <w:num w:numId="1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2"/>
  </w:num>
  <w:num w:numId="17">
    <w:abstractNumId w:val="17"/>
  </w:num>
  <w:num w:numId="18">
    <w:abstractNumId w:val="0"/>
  </w:num>
  <w:num w:numId="19">
    <w:abstractNumId w:val="24"/>
  </w:num>
  <w:num w:numId="20">
    <w:abstractNumId w:val="11"/>
  </w:num>
  <w:num w:numId="21">
    <w:abstractNumId w:val="21"/>
  </w:num>
  <w:num w:numId="22">
    <w:abstractNumId w:val="9"/>
  </w:num>
  <w:num w:numId="23">
    <w:abstractNumId w:val="15"/>
  </w:num>
  <w:num w:numId="24">
    <w:abstractNumId w:val="1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8A"/>
    <w:rsid w:val="00004165"/>
    <w:rsid w:val="00011027"/>
    <w:rsid w:val="000151CE"/>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4CC7"/>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26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57F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0735"/>
    <w:rsid w:val="001D25FD"/>
    <w:rsid w:val="001D3558"/>
    <w:rsid w:val="001D3CEC"/>
    <w:rsid w:val="001D7D94"/>
    <w:rsid w:val="001E0A28"/>
    <w:rsid w:val="001E10B3"/>
    <w:rsid w:val="001E365C"/>
    <w:rsid w:val="001E4218"/>
    <w:rsid w:val="001E5A9E"/>
    <w:rsid w:val="001F0B20"/>
    <w:rsid w:val="00200A62"/>
    <w:rsid w:val="00203740"/>
    <w:rsid w:val="00204C85"/>
    <w:rsid w:val="002138EA"/>
    <w:rsid w:val="00213F84"/>
    <w:rsid w:val="00214FBD"/>
    <w:rsid w:val="0021628A"/>
    <w:rsid w:val="00222897"/>
    <w:rsid w:val="00222B0C"/>
    <w:rsid w:val="00235394"/>
    <w:rsid w:val="00235577"/>
    <w:rsid w:val="002435CA"/>
    <w:rsid w:val="0024469F"/>
    <w:rsid w:val="00244E08"/>
    <w:rsid w:val="00252DB8"/>
    <w:rsid w:val="002537BC"/>
    <w:rsid w:val="002556F8"/>
    <w:rsid w:val="00255C58"/>
    <w:rsid w:val="00256E91"/>
    <w:rsid w:val="00260EC7"/>
    <w:rsid w:val="00261539"/>
    <w:rsid w:val="0026179F"/>
    <w:rsid w:val="00264984"/>
    <w:rsid w:val="00266509"/>
    <w:rsid w:val="002666AE"/>
    <w:rsid w:val="00266FE1"/>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33A1"/>
    <w:rsid w:val="002B516C"/>
    <w:rsid w:val="002B5C6E"/>
    <w:rsid w:val="002B5D6C"/>
    <w:rsid w:val="002B5E1D"/>
    <w:rsid w:val="002B60C1"/>
    <w:rsid w:val="002B75A4"/>
    <w:rsid w:val="002C0040"/>
    <w:rsid w:val="002C0D0A"/>
    <w:rsid w:val="002C23F3"/>
    <w:rsid w:val="002C4B52"/>
    <w:rsid w:val="002D03E5"/>
    <w:rsid w:val="002D225F"/>
    <w:rsid w:val="002D36EB"/>
    <w:rsid w:val="002D6BDF"/>
    <w:rsid w:val="002D6EDD"/>
    <w:rsid w:val="002E2CE9"/>
    <w:rsid w:val="002E3BF7"/>
    <w:rsid w:val="002E403E"/>
    <w:rsid w:val="002F158C"/>
    <w:rsid w:val="002F2687"/>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54D3"/>
    <w:rsid w:val="00336697"/>
    <w:rsid w:val="003418CB"/>
    <w:rsid w:val="00344713"/>
    <w:rsid w:val="00347189"/>
    <w:rsid w:val="003510B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6B8"/>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44CB"/>
    <w:rsid w:val="00446408"/>
    <w:rsid w:val="0044722C"/>
    <w:rsid w:val="004501AC"/>
    <w:rsid w:val="00450F27"/>
    <w:rsid w:val="004510E5"/>
    <w:rsid w:val="00455179"/>
    <w:rsid w:val="00456A75"/>
    <w:rsid w:val="0046060E"/>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765"/>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7380B"/>
    <w:rsid w:val="00580FF5"/>
    <w:rsid w:val="0058348E"/>
    <w:rsid w:val="0058519C"/>
    <w:rsid w:val="00586242"/>
    <w:rsid w:val="0059149A"/>
    <w:rsid w:val="005956EE"/>
    <w:rsid w:val="005A083E"/>
    <w:rsid w:val="005A5F53"/>
    <w:rsid w:val="005B0175"/>
    <w:rsid w:val="005B13D7"/>
    <w:rsid w:val="005B4802"/>
    <w:rsid w:val="005B51E8"/>
    <w:rsid w:val="005B7D61"/>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3972"/>
    <w:rsid w:val="00604230"/>
    <w:rsid w:val="00607F6A"/>
    <w:rsid w:val="00613291"/>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5480"/>
    <w:rsid w:val="006478EB"/>
    <w:rsid w:val="006501AF"/>
    <w:rsid w:val="00650DDE"/>
    <w:rsid w:val="00652ADD"/>
    <w:rsid w:val="00654067"/>
    <w:rsid w:val="00654FA3"/>
    <w:rsid w:val="0065505B"/>
    <w:rsid w:val="00655495"/>
    <w:rsid w:val="00656EE7"/>
    <w:rsid w:val="00657598"/>
    <w:rsid w:val="00660381"/>
    <w:rsid w:val="00660482"/>
    <w:rsid w:val="00664D99"/>
    <w:rsid w:val="00665B63"/>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25306"/>
    <w:rsid w:val="00730655"/>
    <w:rsid w:val="00731D77"/>
    <w:rsid w:val="00732360"/>
    <w:rsid w:val="0073390A"/>
    <w:rsid w:val="00733AAC"/>
    <w:rsid w:val="00734118"/>
    <w:rsid w:val="00734E64"/>
    <w:rsid w:val="00735D0D"/>
    <w:rsid w:val="00736B37"/>
    <w:rsid w:val="007406C3"/>
    <w:rsid w:val="0074089F"/>
    <w:rsid w:val="00740A35"/>
    <w:rsid w:val="007520B4"/>
    <w:rsid w:val="00752CCD"/>
    <w:rsid w:val="00753EBD"/>
    <w:rsid w:val="0075511D"/>
    <w:rsid w:val="0076121E"/>
    <w:rsid w:val="00761E6F"/>
    <w:rsid w:val="007655D5"/>
    <w:rsid w:val="00771536"/>
    <w:rsid w:val="007763C1"/>
    <w:rsid w:val="00777E82"/>
    <w:rsid w:val="00781359"/>
    <w:rsid w:val="00781A52"/>
    <w:rsid w:val="0078318C"/>
    <w:rsid w:val="007835CE"/>
    <w:rsid w:val="00785873"/>
    <w:rsid w:val="00786921"/>
    <w:rsid w:val="00797996"/>
    <w:rsid w:val="00797DB9"/>
    <w:rsid w:val="007A1EAA"/>
    <w:rsid w:val="007A79FD"/>
    <w:rsid w:val="007B0B9D"/>
    <w:rsid w:val="007B1131"/>
    <w:rsid w:val="007B5A43"/>
    <w:rsid w:val="007B709B"/>
    <w:rsid w:val="007C1343"/>
    <w:rsid w:val="007C2BA3"/>
    <w:rsid w:val="007C310D"/>
    <w:rsid w:val="007C5EF1"/>
    <w:rsid w:val="007C78BF"/>
    <w:rsid w:val="007C7BF5"/>
    <w:rsid w:val="007D19B7"/>
    <w:rsid w:val="007D53FC"/>
    <w:rsid w:val="007D75E5"/>
    <w:rsid w:val="007D773E"/>
    <w:rsid w:val="007E066E"/>
    <w:rsid w:val="007E1356"/>
    <w:rsid w:val="007E1F50"/>
    <w:rsid w:val="007E20FC"/>
    <w:rsid w:val="007E7062"/>
    <w:rsid w:val="007F057D"/>
    <w:rsid w:val="007F0873"/>
    <w:rsid w:val="007F0E1E"/>
    <w:rsid w:val="007F29A7"/>
    <w:rsid w:val="007F6ECA"/>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1E7B"/>
    <w:rsid w:val="00852621"/>
    <w:rsid w:val="00853723"/>
    <w:rsid w:val="0085477A"/>
    <w:rsid w:val="00855107"/>
    <w:rsid w:val="00855173"/>
    <w:rsid w:val="008557D9"/>
    <w:rsid w:val="00855BF7"/>
    <w:rsid w:val="00856214"/>
    <w:rsid w:val="00862089"/>
    <w:rsid w:val="00866ADD"/>
    <w:rsid w:val="00866D5B"/>
    <w:rsid w:val="00866FF5"/>
    <w:rsid w:val="00873E1F"/>
    <w:rsid w:val="00873F4D"/>
    <w:rsid w:val="00874C16"/>
    <w:rsid w:val="0087532C"/>
    <w:rsid w:val="00877019"/>
    <w:rsid w:val="00882F71"/>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14AD"/>
    <w:rsid w:val="008D1B7C"/>
    <w:rsid w:val="008D5375"/>
    <w:rsid w:val="008D5738"/>
    <w:rsid w:val="008D6657"/>
    <w:rsid w:val="008E0E32"/>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0240"/>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869BB"/>
    <w:rsid w:val="009917FE"/>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0DD4"/>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397F"/>
    <w:rsid w:val="00A1570A"/>
    <w:rsid w:val="00A211B4"/>
    <w:rsid w:val="00A215F9"/>
    <w:rsid w:val="00A22BD2"/>
    <w:rsid w:val="00A235FE"/>
    <w:rsid w:val="00A25266"/>
    <w:rsid w:val="00A33DDF"/>
    <w:rsid w:val="00A34547"/>
    <w:rsid w:val="00A35B3A"/>
    <w:rsid w:val="00A376B7"/>
    <w:rsid w:val="00A37F07"/>
    <w:rsid w:val="00A412FF"/>
    <w:rsid w:val="00A41BF5"/>
    <w:rsid w:val="00A41F41"/>
    <w:rsid w:val="00A430CE"/>
    <w:rsid w:val="00A44778"/>
    <w:rsid w:val="00A469E7"/>
    <w:rsid w:val="00A55633"/>
    <w:rsid w:val="00A604A4"/>
    <w:rsid w:val="00A61B7D"/>
    <w:rsid w:val="00A625AC"/>
    <w:rsid w:val="00A6605B"/>
    <w:rsid w:val="00A66ADC"/>
    <w:rsid w:val="00A7147D"/>
    <w:rsid w:val="00A72725"/>
    <w:rsid w:val="00A751DA"/>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5519"/>
    <w:rsid w:val="00AB78BA"/>
    <w:rsid w:val="00AC1605"/>
    <w:rsid w:val="00AC27DB"/>
    <w:rsid w:val="00AC2FD5"/>
    <w:rsid w:val="00AC6D6B"/>
    <w:rsid w:val="00AD3F71"/>
    <w:rsid w:val="00AD7713"/>
    <w:rsid w:val="00AD7736"/>
    <w:rsid w:val="00AD7D18"/>
    <w:rsid w:val="00AE003B"/>
    <w:rsid w:val="00AE0DB9"/>
    <w:rsid w:val="00AE10CE"/>
    <w:rsid w:val="00AE1F8D"/>
    <w:rsid w:val="00AE2CD0"/>
    <w:rsid w:val="00AE70D4"/>
    <w:rsid w:val="00AE7868"/>
    <w:rsid w:val="00AF0407"/>
    <w:rsid w:val="00AF4B16"/>
    <w:rsid w:val="00AF4D8B"/>
    <w:rsid w:val="00AF718B"/>
    <w:rsid w:val="00B02C24"/>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18F0"/>
    <w:rsid w:val="00B54508"/>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37F5"/>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161E9"/>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4C99"/>
    <w:rsid w:val="00C47F08"/>
    <w:rsid w:val="00C514A6"/>
    <w:rsid w:val="00C542EE"/>
    <w:rsid w:val="00C5739F"/>
    <w:rsid w:val="00C57CF0"/>
    <w:rsid w:val="00C649BD"/>
    <w:rsid w:val="00C65891"/>
    <w:rsid w:val="00C66AC9"/>
    <w:rsid w:val="00C724D3"/>
    <w:rsid w:val="00C73C79"/>
    <w:rsid w:val="00C7596A"/>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90D"/>
    <w:rsid w:val="00CB33C7"/>
    <w:rsid w:val="00CB4521"/>
    <w:rsid w:val="00CB5028"/>
    <w:rsid w:val="00CB617F"/>
    <w:rsid w:val="00CB6DA7"/>
    <w:rsid w:val="00CB7E4C"/>
    <w:rsid w:val="00CC1311"/>
    <w:rsid w:val="00CC25B4"/>
    <w:rsid w:val="00CC5F88"/>
    <w:rsid w:val="00CC69C8"/>
    <w:rsid w:val="00CC6CD7"/>
    <w:rsid w:val="00CC77A2"/>
    <w:rsid w:val="00CD307E"/>
    <w:rsid w:val="00CD4082"/>
    <w:rsid w:val="00CD5359"/>
    <w:rsid w:val="00CD6A1B"/>
    <w:rsid w:val="00CE0A7F"/>
    <w:rsid w:val="00CE1718"/>
    <w:rsid w:val="00CE2B4F"/>
    <w:rsid w:val="00CE2DF1"/>
    <w:rsid w:val="00CF0D4E"/>
    <w:rsid w:val="00CF4156"/>
    <w:rsid w:val="00D00F6F"/>
    <w:rsid w:val="00D03D00"/>
    <w:rsid w:val="00D05C30"/>
    <w:rsid w:val="00D0660A"/>
    <w:rsid w:val="00D10EF7"/>
    <w:rsid w:val="00D11359"/>
    <w:rsid w:val="00D12372"/>
    <w:rsid w:val="00D140C5"/>
    <w:rsid w:val="00D236F0"/>
    <w:rsid w:val="00D23F16"/>
    <w:rsid w:val="00D24E9B"/>
    <w:rsid w:val="00D26534"/>
    <w:rsid w:val="00D27241"/>
    <w:rsid w:val="00D3188C"/>
    <w:rsid w:val="00D35F9B"/>
    <w:rsid w:val="00D36B69"/>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B2644"/>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0F87"/>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2F1E"/>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65AD"/>
    <w:rsid w:val="00E96E7C"/>
    <w:rsid w:val="00E97AD5"/>
    <w:rsid w:val="00EA1111"/>
    <w:rsid w:val="00EA1DE6"/>
    <w:rsid w:val="00EA2148"/>
    <w:rsid w:val="00EA3B4F"/>
    <w:rsid w:val="00EA3C24"/>
    <w:rsid w:val="00EA67E2"/>
    <w:rsid w:val="00EA73DF"/>
    <w:rsid w:val="00EB61AE"/>
    <w:rsid w:val="00EC322D"/>
    <w:rsid w:val="00EC34B7"/>
    <w:rsid w:val="00EC57AB"/>
    <w:rsid w:val="00ED383A"/>
    <w:rsid w:val="00ED69BC"/>
    <w:rsid w:val="00ED6DF0"/>
    <w:rsid w:val="00EE162E"/>
    <w:rsid w:val="00EE605A"/>
    <w:rsid w:val="00EE6EEF"/>
    <w:rsid w:val="00EF1EC5"/>
    <w:rsid w:val="00EF4C88"/>
    <w:rsid w:val="00EF55EB"/>
    <w:rsid w:val="00EF5CFD"/>
    <w:rsid w:val="00EF7FDE"/>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35D8D"/>
    <w:rsid w:val="00F40D70"/>
    <w:rsid w:val="00F4136D"/>
    <w:rsid w:val="00F4212E"/>
    <w:rsid w:val="00F42C20"/>
    <w:rsid w:val="00F43E34"/>
    <w:rsid w:val="00F46D37"/>
    <w:rsid w:val="00F53053"/>
    <w:rsid w:val="00F53FE2"/>
    <w:rsid w:val="00F544EE"/>
    <w:rsid w:val="00F575FF"/>
    <w:rsid w:val="00F602B0"/>
    <w:rsid w:val="00F60878"/>
    <w:rsid w:val="00F618EF"/>
    <w:rsid w:val="00F65582"/>
    <w:rsid w:val="00F66C03"/>
    <w:rsid w:val="00F66E75"/>
    <w:rsid w:val="00F756FA"/>
    <w:rsid w:val="00F7617E"/>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0BE"/>
    <w:rsid w:val="00FC2D66"/>
    <w:rsid w:val="00FC370E"/>
    <w:rsid w:val="00FC4BA4"/>
    <w:rsid w:val="00FC69B4"/>
    <w:rsid w:val="00FD0694"/>
    <w:rsid w:val="00FD25BE"/>
    <w:rsid w:val="00FD2E70"/>
    <w:rsid w:val="00FD7AA7"/>
    <w:rsid w:val="00FE10AA"/>
    <w:rsid w:val="00FE54F4"/>
    <w:rsid w:val="00FE656A"/>
    <w:rsid w:val="00FE7371"/>
    <w:rsid w:val="00FF0664"/>
    <w:rsid w:val="00FF1FCB"/>
    <w:rsid w:val="00FF3A63"/>
    <w:rsid w:val="00FF52D4"/>
    <w:rsid w:val="00FF6AA4"/>
    <w:rsid w:val="00FF6B09"/>
    <w:rsid w:val="01C3C46B"/>
    <w:rsid w:val="0829B300"/>
    <w:rsid w:val="12145D45"/>
    <w:rsid w:val="16D3423B"/>
    <w:rsid w:val="191AAF2E"/>
    <w:rsid w:val="1B2C5A7A"/>
    <w:rsid w:val="1F0420C2"/>
    <w:rsid w:val="1FF00E3C"/>
    <w:rsid w:val="27F1B525"/>
    <w:rsid w:val="369967D0"/>
    <w:rsid w:val="40BAFDE0"/>
    <w:rsid w:val="44D52120"/>
    <w:rsid w:val="549EF8B4"/>
    <w:rsid w:val="567567DF"/>
    <w:rsid w:val="5D7F19D3"/>
    <w:rsid w:val="7126A377"/>
    <w:rsid w:val="72F9862E"/>
    <w:rsid w:val="777CBC9E"/>
    <w:rsid w:val="7AB45D60"/>
    <w:rsid w:val="7BB0A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出段落,列表段落,목록 단락,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character" w:customStyle="1" w:styleId="B1Char1">
    <w:name w:val="B1 Char1"/>
    <w:locked/>
    <w:rsid w:val="009917F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36175">
      <w:bodyDiv w:val="1"/>
      <w:marLeft w:val="0"/>
      <w:marRight w:val="0"/>
      <w:marTop w:val="0"/>
      <w:marBottom w:val="0"/>
      <w:divBdr>
        <w:top w:val="none" w:sz="0" w:space="0" w:color="auto"/>
        <w:left w:val="none" w:sz="0" w:space="0" w:color="auto"/>
        <w:bottom w:val="none" w:sz="0" w:space="0" w:color="auto"/>
        <w:right w:val="none" w:sz="0" w:space="0" w:color="auto"/>
      </w:divBdr>
    </w:div>
    <w:div w:id="122237473">
      <w:bodyDiv w:val="1"/>
      <w:marLeft w:val="0"/>
      <w:marRight w:val="0"/>
      <w:marTop w:val="0"/>
      <w:marBottom w:val="0"/>
      <w:divBdr>
        <w:top w:val="none" w:sz="0" w:space="0" w:color="auto"/>
        <w:left w:val="none" w:sz="0" w:space="0" w:color="auto"/>
        <w:bottom w:val="none" w:sz="0" w:space="0" w:color="auto"/>
        <w:right w:val="none" w:sz="0" w:space="0" w:color="auto"/>
      </w:divBdr>
    </w:div>
    <w:div w:id="128061919">
      <w:bodyDiv w:val="1"/>
      <w:marLeft w:val="0"/>
      <w:marRight w:val="0"/>
      <w:marTop w:val="0"/>
      <w:marBottom w:val="0"/>
      <w:divBdr>
        <w:top w:val="none" w:sz="0" w:space="0" w:color="auto"/>
        <w:left w:val="none" w:sz="0" w:space="0" w:color="auto"/>
        <w:bottom w:val="none" w:sz="0" w:space="0" w:color="auto"/>
        <w:right w:val="none" w:sz="0" w:space="0" w:color="auto"/>
      </w:divBdr>
    </w:div>
    <w:div w:id="256331709">
      <w:bodyDiv w:val="1"/>
      <w:marLeft w:val="0"/>
      <w:marRight w:val="0"/>
      <w:marTop w:val="0"/>
      <w:marBottom w:val="0"/>
      <w:divBdr>
        <w:top w:val="none" w:sz="0" w:space="0" w:color="auto"/>
        <w:left w:val="none" w:sz="0" w:space="0" w:color="auto"/>
        <w:bottom w:val="none" w:sz="0" w:space="0" w:color="auto"/>
        <w:right w:val="none" w:sz="0" w:space="0" w:color="auto"/>
      </w:divBdr>
    </w:div>
    <w:div w:id="457379383">
      <w:bodyDiv w:val="1"/>
      <w:marLeft w:val="0"/>
      <w:marRight w:val="0"/>
      <w:marTop w:val="0"/>
      <w:marBottom w:val="0"/>
      <w:divBdr>
        <w:top w:val="none" w:sz="0" w:space="0" w:color="auto"/>
        <w:left w:val="none" w:sz="0" w:space="0" w:color="auto"/>
        <w:bottom w:val="none" w:sz="0" w:space="0" w:color="auto"/>
        <w:right w:val="none" w:sz="0" w:space="0" w:color="auto"/>
      </w:divBdr>
    </w:div>
    <w:div w:id="585574585">
      <w:bodyDiv w:val="1"/>
      <w:marLeft w:val="0"/>
      <w:marRight w:val="0"/>
      <w:marTop w:val="0"/>
      <w:marBottom w:val="0"/>
      <w:divBdr>
        <w:top w:val="none" w:sz="0" w:space="0" w:color="auto"/>
        <w:left w:val="none" w:sz="0" w:space="0" w:color="auto"/>
        <w:bottom w:val="none" w:sz="0" w:space="0" w:color="auto"/>
        <w:right w:val="none" w:sz="0" w:space="0" w:color="auto"/>
      </w:divBdr>
      <w:divsChild>
        <w:div w:id="2001351727">
          <w:marLeft w:val="360"/>
          <w:marRight w:val="0"/>
          <w:marTop w:val="200"/>
          <w:marBottom w:val="0"/>
          <w:divBdr>
            <w:top w:val="none" w:sz="0" w:space="0" w:color="auto"/>
            <w:left w:val="none" w:sz="0" w:space="0" w:color="auto"/>
            <w:bottom w:val="none" w:sz="0" w:space="0" w:color="auto"/>
            <w:right w:val="none" w:sz="0" w:space="0" w:color="auto"/>
          </w:divBdr>
        </w:div>
        <w:div w:id="39482064">
          <w:marLeft w:val="1080"/>
          <w:marRight w:val="0"/>
          <w:marTop w:val="100"/>
          <w:marBottom w:val="0"/>
          <w:divBdr>
            <w:top w:val="none" w:sz="0" w:space="0" w:color="auto"/>
            <w:left w:val="none" w:sz="0" w:space="0" w:color="auto"/>
            <w:bottom w:val="none" w:sz="0" w:space="0" w:color="auto"/>
            <w:right w:val="none" w:sz="0" w:space="0" w:color="auto"/>
          </w:divBdr>
        </w:div>
        <w:div w:id="115220619">
          <w:marLeft w:val="360"/>
          <w:marRight w:val="0"/>
          <w:marTop w:val="200"/>
          <w:marBottom w:val="0"/>
          <w:divBdr>
            <w:top w:val="none" w:sz="0" w:space="0" w:color="auto"/>
            <w:left w:val="none" w:sz="0" w:space="0" w:color="auto"/>
            <w:bottom w:val="none" w:sz="0" w:space="0" w:color="auto"/>
            <w:right w:val="none" w:sz="0" w:space="0" w:color="auto"/>
          </w:divBdr>
        </w:div>
        <w:div w:id="221452096">
          <w:marLeft w:val="360"/>
          <w:marRight w:val="0"/>
          <w:marTop w:val="200"/>
          <w:marBottom w:val="0"/>
          <w:divBdr>
            <w:top w:val="none" w:sz="0" w:space="0" w:color="auto"/>
            <w:left w:val="none" w:sz="0" w:space="0" w:color="auto"/>
            <w:bottom w:val="none" w:sz="0" w:space="0" w:color="auto"/>
            <w:right w:val="none" w:sz="0" w:space="0" w:color="auto"/>
          </w:divBdr>
        </w:div>
        <w:div w:id="383876529">
          <w:marLeft w:val="1080"/>
          <w:marRight w:val="0"/>
          <w:marTop w:val="100"/>
          <w:marBottom w:val="0"/>
          <w:divBdr>
            <w:top w:val="none" w:sz="0" w:space="0" w:color="auto"/>
            <w:left w:val="none" w:sz="0" w:space="0" w:color="auto"/>
            <w:bottom w:val="none" w:sz="0" w:space="0" w:color="auto"/>
            <w:right w:val="none" w:sz="0" w:space="0" w:color="auto"/>
          </w:divBdr>
        </w:div>
      </w:divsChild>
    </w:div>
    <w:div w:id="859851712">
      <w:bodyDiv w:val="1"/>
      <w:marLeft w:val="0"/>
      <w:marRight w:val="0"/>
      <w:marTop w:val="0"/>
      <w:marBottom w:val="0"/>
      <w:divBdr>
        <w:top w:val="none" w:sz="0" w:space="0" w:color="auto"/>
        <w:left w:val="none" w:sz="0" w:space="0" w:color="auto"/>
        <w:bottom w:val="none" w:sz="0" w:space="0" w:color="auto"/>
        <w:right w:val="none" w:sz="0" w:space="0" w:color="auto"/>
      </w:divBdr>
    </w:div>
    <w:div w:id="1057246385">
      <w:bodyDiv w:val="1"/>
      <w:marLeft w:val="0"/>
      <w:marRight w:val="0"/>
      <w:marTop w:val="0"/>
      <w:marBottom w:val="0"/>
      <w:divBdr>
        <w:top w:val="none" w:sz="0" w:space="0" w:color="auto"/>
        <w:left w:val="none" w:sz="0" w:space="0" w:color="auto"/>
        <w:bottom w:val="none" w:sz="0" w:space="0" w:color="auto"/>
        <w:right w:val="none" w:sz="0" w:space="0" w:color="auto"/>
      </w:divBdr>
    </w:div>
    <w:div w:id="1066145533">
      <w:bodyDiv w:val="1"/>
      <w:marLeft w:val="0"/>
      <w:marRight w:val="0"/>
      <w:marTop w:val="0"/>
      <w:marBottom w:val="0"/>
      <w:divBdr>
        <w:top w:val="none" w:sz="0" w:space="0" w:color="auto"/>
        <w:left w:val="none" w:sz="0" w:space="0" w:color="auto"/>
        <w:bottom w:val="none" w:sz="0" w:space="0" w:color="auto"/>
        <w:right w:val="none" w:sz="0" w:space="0" w:color="auto"/>
      </w:divBdr>
    </w:div>
    <w:div w:id="1490554590">
      <w:bodyDiv w:val="1"/>
      <w:marLeft w:val="0"/>
      <w:marRight w:val="0"/>
      <w:marTop w:val="0"/>
      <w:marBottom w:val="0"/>
      <w:divBdr>
        <w:top w:val="none" w:sz="0" w:space="0" w:color="auto"/>
        <w:left w:val="none" w:sz="0" w:space="0" w:color="auto"/>
        <w:bottom w:val="none" w:sz="0" w:space="0" w:color="auto"/>
        <w:right w:val="none" w:sz="0" w:space="0" w:color="auto"/>
      </w:divBdr>
    </w:div>
    <w:div w:id="1749574440">
      <w:bodyDiv w:val="1"/>
      <w:marLeft w:val="0"/>
      <w:marRight w:val="0"/>
      <w:marTop w:val="0"/>
      <w:marBottom w:val="0"/>
      <w:divBdr>
        <w:top w:val="none" w:sz="0" w:space="0" w:color="auto"/>
        <w:left w:val="none" w:sz="0" w:space="0" w:color="auto"/>
        <w:bottom w:val="none" w:sz="0" w:space="0" w:color="auto"/>
        <w:right w:val="none" w:sz="0" w:space="0" w:color="auto"/>
      </w:divBdr>
    </w:div>
    <w:div w:id="1753239321">
      <w:bodyDiv w:val="1"/>
      <w:marLeft w:val="0"/>
      <w:marRight w:val="0"/>
      <w:marTop w:val="0"/>
      <w:marBottom w:val="0"/>
      <w:divBdr>
        <w:top w:val="none" w:sz="0" w:space="0" w:color="auto"/>
        <w:left w:val="none" w:sz="0" w:space="0" w:color="auto"/>
        <w:bottom w:val="none" w:sz="0" w:space="0" w:color="auto"/>
        <w:right w:val="none" w:sz="0" w:space="0" w:color="auto"/>
      </w:divBdr>
      <w:divsChild>
        <w:div w:id="665792536">
          <w:marLeft w:val="360"/>
          <w:marRight w:val="0"/>
          <w:marTop w:val="200"/>
          <w:marBottom w:val="0"/>
          <w:divBdr>
            <w:top w:val="none" w:sz="0" w:space="0" w:color="auto"/>
            <w:left w:val="none" w:sz="0" w:space="0" w:color="auto"/>
            <w:bottom w:val="none" w:sz="0" w:space="0" w:color="auto"/>
            <w:right w:val="none" w:sz="0" w:space="0" w:color="auto"/>
          </w:divBdr>
        </w:div>
        <w:div w:id="1046947741">
          <w:marLeft w:val="1080"/>
          <w:marRight w:val="0"/>
          <w:marTop w:val="100"/>
          <w:marBottom w:val="0"/>
          <w:divBdr>
            <w:top w:val="none" w:sz="0" w:space="0" w:color="auto"/>
            <w:left w:val="none" w:sz="0" w:space="0" w:color="auto"/>
            <w:bottom w:val="none" w:sz="0" w:space="0" w:color="auto"/>
            <w:right w:val="none" w:sz="0" w:space="0" w:color="auto"/>
          </w:divBdr>
        </w:div>
        <w:div w:id="476260622">
          <w:marLeft w:val="360"/>
          <w:marRight w:val="0"/>
          <w:marTop w:val="200"/>
          <w:marBottom w:val="0"/>
          <w:divBdr>
            <w:top w:val="none" w:sz="0" w:space="0" w:color="auto"/>
            <w:left w:val="none" w:sz="0" w:space="0" w:color="auto"/>
            <w:bottom w:val="none" w:sz="0" w:space="0" w:color="auto"/>
            <w:right w:val="none" w:sz="0" w:space="0" w:color="auto"/>
          </w:divBdr>
        </w:div>
        <w:div w:id="1858229445">
          <w:marLeft w:val="360"/>
          <w:marRight w:val="0"/>
          <w:marTop w:val="200"/>
          <w:marBottom w:val="0"/>
          <w:divBdr>
            <w:top w:val="none" w:sz="0" w:space="0" w:color="auto"/>
            <w:left w:val="none" w:sz="0" w:space="0" w:color="auto"/>
            <w:bottom w:val="none" w:sz="0" w:space="0" w:color="auto"/>
            <w:right w:val="none" w:sz="0" w:space="0" w:color="auto"/>
          </w:divBdr>
        </w:div>
        <w:div w:id="2052223050">
          <w:marLeft w:val="1080"/>
          <w:marRight w:val="0"/>
          <w:marTop w:val="100"/>
          <w:marBottom w:val="0"/>
          <w:divBdr>
            <w:top w:val="none" w:sz="0" w:space="0" w:color="auto"/>
            <w:left w:val="none" w:sz="0" w:space="0" w:color="auto"/>
            <w:bottom w:val="none" w:sz="0" w:space="0" w:color="auto"/>
            <w:right w:val="none" w:sz="0" w:space="0" w:color="auto"/>
          </w:divBdr>
        </w:div>
      </w:divsChild>
    </w:div>
    <w:div w:id="1967588860">
      <w:bodyDiv w:val="1"/>
      <w:marLeft w:val="0"/>
      <w:marRight w:val="0"/>
      <w:marTop w:val="0"/>
      <w:marBottom w:val="0"/>
      <w:divBdr>
        <w:top w:val="none" w:sz="0" w:space="0" w:color="auto"/>
        <w:left w:val="none" w:sz="0" w:space="0" w:color="auto"/>
        <w:bottom w:val="none" w:sz="0" w:space="0" w:color="auto"/>
        <w:right w:val="none" w:sz="0" w:space="0" w:color="auto"/>
      </w:divBdr>
    </w:div>
    <w:div w:id="2036230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5AIRPNAIUNRU-1328258698-2935</_dlc_DocId>
    <_dlc_DocIdUrl xmlns="71c5aaf6-e6ce-465b-b873-5148d2a4c105">
      <Url>https://nokia.sharepoint.com/sites/c5g/5gradio/_layouts/15/DocIdRedir.aspx?ID=5AIRPNAIUNRU-1328258698-2935</Url>
      <Description>5AIRPNAIUNRU-1328258698-2935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E7D5E-E260-4650-ACE0-CB24C59D234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639DFD-79DD-4226-9928-76E220485403}">
  <ds:schemaRefs>
    <ds:schemaRef ds:uri="Microsoft.SharePoint.Taxonomy.ContentTypeSync"/>
  </ds:schemaRefs>
</ds:datastoreItem>
</file>

<file path=customXml/itemProps4.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6.xml><?xml version="1.0" encoding="utf-8"?>
<ds:datastoreItem xmlns:ds="http://schemas.openxmlformats.org/officeDocument/2006/customXml" ds:itemID="{0285AC5E-4D30-4EFF-BA13-01F812DEB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F56002F-8A1E-44CC-BF9B-F41AC7B1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493</Words>
  <Characters>3997</Characters>
  <Application>Microsoft Office Word</Application>
  <DocSecurity>0</DocSecurity>
  <Lines>33</Lines>
  <Paragraphs>8</Paragraphs>
  <ScaleCrop>false</ScaleCrop>
  <Company>Microsoft</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5</cp:revision>
  <cp:lastPrinted>2019-04-25T01:09:00Z</cp:lastPrinted>
  <dcterms:created xsi:type="dcterms:W3CDTF">2021-03-31T13:11:00Z</dcterms:created>
  <dcterms:modified xsi:type="dcterms:W3CDTF">2021-04-02T12:26:00Z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02fd4ef2-4fb0-4e3a-99f7-4445f83c8c71</vt:lpwstr>
  </property>
</Properties>
</file>